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</w:rPr>
        <w:t>3</w:t>
      </w:r>
    </w:p>
    <w:p>
      <w:pPr>
        <w:rPr>
          <w:rFonts w:ascii="黑体" w:hAnsi="黑体" w:eastAsia="黑体" w:cs="宋体"/>
          <w:sz w:val="15"/>
          <w:szCs w:val="15"/>
        </w:rPr>
      </w:pPr>
    </w:p>
    <w:p>
      <w:pPr>
        <w:spacing w:line="500" w:lineRule="exact"/>
        <w:jc w:val="center"/>
        <w:rPr>
          <w:rFonts w:ascii="Calibri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建筑工程绿色建材应用比例核算方法</w:t>
      </w:r>
    </w:p>
    <w:p>
      <w:pPr>
        <w:spacing w:line="500" w:lineRule="exact"/>
        <w:rPr>
          <w:rFonts w:ascii="Calibri" w:hAnsi="Calibri" w:eastAsia="楷体_GB2312" w:cs="Times New Roman"/>
          <w:sz w:val="32"/>
          <w:szCs w:val="32"/>
        </w:rPr>
      </w:pPr>
      <w:r>
        <w:rPr>
          <w:rFonts w:ascii="Calibri" w:hAnsi="Calibri" w:eastAsia="楷体_GB2312" w:cs="Times New Roman"/>
        </w:rPr>
        <w:t xml:space="preserve"> </w:t>
      </w:r>
    </w:p>
    <w:p>
      <w:pPr>
        <w:spacing w:line="5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一、参照国家标准《绿色建筑评价标准》（</w:t>
      </w:r>
      <w:r>
        <w:rPr>
          <w:rFonts w:hint="eastAsia" w:ascii="仿宋_GB2312" w:hAnsi="Calibri" w:eastAsia="仿宋_GB2312" w:cs="Times New Roman"/>
          <w:sz w:val="32"/>
          <w:szCs w:val="32"/>
        </w:rPr>
        <w:t>GB/T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</w:rPr>
        <w:t>50378</w:t>
      </w:r>
      <w:r>
        <w:rPr>
          <w:rFonts w:hint="eastAsia" w:ascii="仿宋_GB2312" w:hAnsi="宋体" w:eastAsia="仿宋_GB2312" w:cs="Times New Roman"/>
          <w:sz w:val="32"/>
          <w:szCs w:val="32"/>
        </w:rPr>
        <w:t>），绿色建材应用比例计算方法如下：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P=[</w:t>
      </w: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</w:rPr>
        <w:t>Q</w:t>
      </w:r>
      <w:r>
        <w:rPr>
          <w:rFonts w:hint="eastAsia" w:ascii="仿宋_GB2312" w:hAnsi="Calibri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+Q</w:t>
      </w:r>
      <w:r>
        <w:rPr>
          <w:rFonts w:hint="eastAsia" w:ascii="仿宋_GB2312" w:hAnsi="Calibri" w:eastAsia="仿宋_GB2312" w:cs="Times New Roman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+Q</w:t>
      </w:r>
      <w:r>
        <w:rPr>
          <w:rFonts w:hint="eastAsia" w:ascii="仿宋_GB2312" w:hAnsi="Calibri" w:eastAsia="仿宋_GB2312" w:cs="Times New Roman"/>
          <w:sz w:val="32"/>
          <w:szCs w:val="32"/>
          <w:vertAlign w:val="subscript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+ Q</w:t>
      </w:r>
      <w:r>
        <w:rPr>
          <w:rFonts w:hint="eastAsia" w:ascii="仿宋_GB2312" w:hAnsi="Calibri" w:eastAsia="仿宋_GB2312" w:cs="Times New Roman"/>
          <w:sz w:val="32"/>
          <w:szCs w:val="32"/>
          <w:vertAlign w:val="subscript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/100]×100% 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式中：</w:t>
      </w:r>
      <w:r>
        <w:rPr>
          <w:rFonts w:hint="eastAsia" w:ascii="仿宋_GB2312" w:hAnsi="Calibri" w:eastAsia="仿宋_GB2312" w:cs="Times New Roman"/>
          <w:sz w:val="32"/>
          <w:szCs w:val="32"/>
        </w:rPr>
        <w:t>P—</w:t>
      </w:r>
      <w:r>
        <w:rPr>
          <w:rFonts w:hint="eastAsia" w:ascii="仿宋_GB2312" w:hAnsi="宋体" w:eastAsia="仿宋_GB2312" w:cs="Times New Roman"/>
          <w:sz w:val="32"/>
          <w:szCs w:val="32"/>
        </w:rPr>
        <w:t>绿色建材应用比例；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Q</w:t>
      </w:r>
      <w:r>
        <w:rPr>
          <w:rFonts w:hint="eastAsia" w:ascii="仿宋_GB2312" w:hAnsi="Calibri" w:eastAsia="仿宋_GB2312" w:cs="Times New Roman"/>
          <w:sz w:val="32"/>
          <w:szCs w:val="32"/>
          <w:vertAlign w:val="subscript"/>
        </w:rPr>
        <w:t xml:space="preserve">1 </w:t>
      </w:r>
      <w:r>
        <w:rPr>
          <w:rFonts w:hint="eastAsia" w:ascii="仿宋_GB2312" w:hAnsi="Calibri" w:eastAsia="仿宋_GB2312" w:cs="Times New Roman"/>
          <w:sz w:val="32"/>
          <w:szCs w:val="32"/>
        </w:rPr>
        <w:t>—</w:t>
      </w:r>
      <w:r>
        <w:rPr>
          <w:rFonts w:hint="eastAsia" w:ascii="仿宋_GB2312" w:hAnsi="宋体" w:eastAsia="仿宋_GB2312" w:cs="Times New Roman"/>
          <w:sz w:val="32"/>
          <w:szCs w:val="32"/>
        </w:rPr>
        <w:t>主体结构材料指标实际得分值；</w:t>
      </w:r>
    </w:p>
    <w:p>
      <w:pPr>
        <w:spacing w:line="500" w:lineRule="exact"/>
        <w:ind w:firstLine="1600" w:firstLineChars="5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Q</w:t>
      </w:r>
      <w:r>
        <w:rPr>
          <w:rFonts w:hint="eastAsia" w:ascii="仿宋_GB2312" w:hAnsi="Calibri" w:eastAsia="仿宋_GB2312" w:cs="Times New Roman"/>
          <w:sz w:val="32"/>
          <w:szCs w:val="32"/>
          <w:vertAlign w:val="subscript"/>
        </w:rPr>
        <w:t xml:space="preserve">2 </w:t>
      </w:r>
      <w:r>
        <w:rPr>
          <w:rFonts w:hint="eastAsia" w:ascii="仿宋_GB2312" w:hAnsi="Calibri" w:eastAsia="仿宋_GB2312" w:cs="Times New Roman"/>
          <w:sz w:val="32"/>
          <w:szCs w:val="32"/>
        </w:rPr>
        <w:t>—</w:t>
      </w:r>
      <w:r>
        <w:rPr>
          <w:rFonts w:hint="eastAsia" w:ascii="仿宋_GB2312" w:hAnsi="宋体" w:eastAsia="仿宋_GB2312" w:cs="Times New Roman"/>
          <w:sz w:val="32"/>
          <w:szCs w:val="32"/>
        </w:rPr>
        <w:t>围护墙和内隔墙指标实际得分值；</w:t>
      </w:r>
    </w:p>
    <w:p>
      <w:pPr>
        <w:spacing w:line="500" w:lineRule="exact"/>
        <w:ind w:firstLine="1600" w:firstLineChars="5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Q</w:t>
      </w:r>
      <w:r>
        <w:rPr>
          <w:rFonts w:hint="eastAsia" w:ascii="仿宋_GB2312" w:hAnsi="Calibri" w:eastAsia="仿宋_GB2312" w:cs="Times New Roman"/>
          <w:sz w:val="32"/>
          <w:szCs w:val="32"/>
          <w:vertAlign w:val="subscript"/>
        </w:rPr>
        <w:t xml:space="preserve">3 </w:t>
      </w:r>
      <w:r>
        <w:rPr>
          <w:rFonts w:hint="eastAsia" w:ascii="仿宋_GB2312" w:hAnsi="Calibri" w:eastAsia="仿宋_GB2312" w:cs="Times New Roman"/>
          <w:sz w:val="32"/>
          <w:szCs w:val="32"/>
        </w:rPr>
        <w:t>—</w:t>
      </w:r>
      <w:r>
        <w:rPr>
          <w:rFonts w:hint="eastAsia" w:ascii="仿宋_GB2312" w:hAnsi="宋体" w:eastAsia="仿宋_GB2312" w:cs="Times New Roman"/>
          <w:sz w:val="32"/>
          <w:szCs w:val="32"/>
        </w:rPr>
        <w:t>装修指标实际得分值；</w:t>
      </w:r>
    </w:p>
    <w:p>
      <w:pPr>
        <w:spacing w:line="500" w:lineRule="exact"/>
        <w:ind w:firstLine="1600" w:firstLineChars="5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Q</w:t>
      </w:r>
      <w:r>
        <w:rPr>
          <w:rFonts w:hint="eastAsia" w:ascii="仿宋_GB2312" w:hAnsi="Calibri" w:eastAsia="仿宋_GB2312" w:cs="Times New Roman"/>
          <w:sz w:val="32"/>
          <w:szCs w:val="32"/>
          <w:vertAlign w:val="subscript"/>
        </w:rPr>
        <w:t xml:space="preserve">4 </w:t>
      </w:r>
      <w:r>
        <w:rPr>
          <w:rFonts w:hint="eastAsia" w:ascii="仿宋_GB2312" w:hAnsi="Calibri" w:eastAsia="仿宋_GB2312" w:cs="Times New Roman"/>
          <w:sz w:val="32"/>
          <w:szCs w:val="32"/>
        </w:rPr>
        <w:t>—</w:t>
      </w:r>
      <w:r>
        <w:rPr>
          <w:rFonts w:hint="eastAsia" w:ascii="仿宋_GB2312" w:hAnsi="宋体" w:eastAsia="仿宋_GB2312" w:cs="Times New Roman"/>
          <w:sz w:val="32"/>
          <w:szCs w:val="32"/>
        </w:rPr>
        <w:t>其他指标实际得分值。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设计、施工单位可参照《绿色建材使用比例计算及选用表》计算绿色建材应用比例设计分值、核算分值。施工图设计文件应明确建筑工程的绿色建材应用比例要求，并在建筑专业施工图设计说明或绿色建筑专篇中载明。</w:t>
      </w:r>
    </w:p>
    <w:p>
      <w:pPr>
        <w:spacing w:line="500" w:lineRule="exact"/>
        <w:rPr>
          <w:rFonts w:ascii="宋体" w:hAnsi="宋体" w:eastAsia="宋体" w:cs="Times New Roman"/>
          <w:b/>
        </w:rPr>
      </w:pPr>
    </w:p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>绿色建材使用比例计算及选用表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574"/>
        <w:gridCol w:w="1725"/>
        <w:gridCol w:w="600"/>
        <w:gridCol w:w="1125"/>
        <w:gridCol w:w="777"/>
        <w:gridCol w:w="1278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  <w:jc w:val="center"/>
        </w:trPr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计算项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计算要求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计算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计算得分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范围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设计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分值</w:t>
            </w:r>
            <w:r>
              <w:rPr>
                <w:rFonts w:hint="eastAsia" w:ascii="仿宋_GB2312" w:hAnsi="Calibri" w:eastAsia="仿宋_GB2312" w:cs="Times New Roman"/>
                <w:b/>
                <w:szCs w:val="21"/>
                <w:vertAlign w:val="superscript"/>
              </w:rPr>
              <w:t>[1]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选用绿色建材产品名称</w:t>
            </w:r>
            <w:r>
              <w:rPr>
                <w:rFonts w:hint="eastAsia" w:ascii="仿宋_GB2312" w:hAnsi="Calibri" w:eastAsia="仿宋_GB2312" w:cs="Times New Roman"/>
                <w:b/>
                <w:szCs w:val="21"/>
                <w:vertAlign w:val="superscript"/>
              </w:rPr>
              <w:t>[2]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核算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分值</w:t>
            </w:r>
            <w:r>
              <w:rPr>
                <w:rFonts w:hint="eastAsia" w:ascii="仿宋_GB2312" w:hAnsi="Calibri" w:eastAsia="仿宋_GB2312" w:cs="Times New Roman"/>
                <w:b/>
                <w:szCs w:val="21"/>
                <w:vertAlign w:val="superscript"/>
              </w:rPr>
              <w:t>[2]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主体结构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Q1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预拌混凝土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m³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10~20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预拌砂浆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m³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5~10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restart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restart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围护墙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和内隔墙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Q2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非承重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围护墙墙材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㎡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5~10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内隔墙墙材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㎡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5~8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3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装修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Q3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外墙装饰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面层材料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（非玻璃幕墙）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㎡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3~5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内墙装饰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面层材料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㎡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3~5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室内顶棚装饰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面层材料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㎡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3~5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室内地面装饰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面层材料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㎡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3~5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门窗幕墙材料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㎡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dstrike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5~10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dstrike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Q4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保温材料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㎡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dstrike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3~5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6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dstrike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卫生洁具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具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3~5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0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防水材料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㎡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3~5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密封材料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kg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1~2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其他材料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80%≤</w:t>
            </w:r>
            <w:r>
              <w:rPr>
                <w:rFonts w:ascii="宋体" w:hAnsi="宋体" w:eastAsia="宋体" w:cs="Times New Roman"/>
                <w:szCs w:val="21"/>
              </w:rPr>
              <w:t>比例</w:t>
            </w:r>
            <w:r>
              <w:rPr>
                <w:rFonts w:ascii="Calibri" w:hAnsi="Calibri" w:eastAsia="宋体" w:cs="Times New Roman"/>
                <w:szCs w:val="21"/>
              </w:rPr>
              <w:t>≤100%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  <w:highlight w:val="cyan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3~5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6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  <w:highlight w:val="cyan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......</w:t>
            </w: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项目绿色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建材应用</w:t>
            </w:r>
          </w:p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比例（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P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设计值</w:t>
            </w:r>
            <w:r>
              <w:rPr>
                <w:rFonts w:hint="eastAsia" w:ascii="仿宋_GB2312" w:hAnsi="Calibri" w:eastAsia="仿宋_GB2312" w:cs="Times New Roman"/>
                <w:b/>
                <w:szCs w:val="21"/>
                <w:vertAlign w:val="superscript"/>
              </w:rPr>
              <w:t>[1]</w:t>
            </w:r>
          </w:p>
        </w:tc>
        <w:tc>
          <w:tcPr>
            <w:tcW w:w="6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9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核算值</w:t>
            </w:r>
            <w:r>
              <w:rPr>
                <w:rFonts w:hint="eastAsia" w:ascii="仿宋_GB2312" w:hAnsi="Calibri" w:eastAsia="仿宋_GB2312" w:cs="Times New Roman"/>
                <w:b/>
                <w:szCs w:val="21"/>
                <w:vertAlign w:val="superscript"/>
              </w:rPr>
              <w:t>[2]</w:t>
            </w:r>
          </w:p>
        </w:tc>
        <w:tc>
          <w:tcPr>
            <w:tcW w:w="6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3" w:hRule="atLeast"/>
          <w:jc w:val="center"/>
        </w:trPr>
        <w:tc>
          <w:tcPr>
            <w:tcW w:w="9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说明：</w:t>
            </w:r>
          </w:p>
          <w:p>
            <w:pPr>
              <w:spacing w:line="280" w:lineRule="exact"/>
              <w:ind w:firstLine="420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．表中标注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“</w: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[1]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”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由设计单位填写，标注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“</w: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[2]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”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由施工单位编写。由设计单位或施工单位单独编写时，可做适当调整。</w:t>
            </w:r>
          </w:p>
          <w:p>
            <w:pPr>
              <w:spacing w:line="280" w:lineRule="exact"/>
              <w:ind w:firstLine="420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．表中的设计分值、核算分值均采用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“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内插法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”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计算，计算结果取小数点后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位。</w:t>
            </w:r>
          </w:p>
          <w:p>
            <w:pPr>
              <w:spacing w:line="280" w:lineRule="exact"/>
              <w:ind w:firstLine="420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3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．预拌混凝土应包含预制部品部件的混凝土用量；预拌砂浆应包含预制部品部件的砂浆用量；围护墙、内隔墙采用预制构件时，计入相应体积计算；结构保温装修等一体化构件分别计入相应的墙体、装修、保温、防水材料计算公式进行计算。</w:t>
            </w:r>
          </w:p>
          <w:p>
            <w:pPr>
              <w:spacing w:line="280" w:lineRule="exact"/>
              <w:ind w:firstLine="420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4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．各绿色建材使用比例计算依据为：计算项的绿色建材使用之和占其所使用的材料总和的比例，主体结构材料采用体积比（例如：预拌混凝土使用比例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=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预拌混凝土使用体积和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/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工程所有混凝土之和），卫生洁具采用数量比，密封材料采用重量比，其他材料均采用面积比（例如：内隔墙绿色建材使用比例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=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各楼层内隔墙使用绿色建材的墙面面积之和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/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各楼层内隔墙墙面总面积）。计算时，可不扣除门、窗、预留洞口、灯具、设备等面积。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87D02"/>
    <w:multiLevelType w:val="multilevel"/>
    <w:tmpl w:val="47D87D02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BC"/>
    <w:rsid w:val="001A6036"/>
    <w:rsid w:val="005404BE"/>
    <w:rsid w:val="0059706E"/>
    <w:rsid w:val="005C37C2"/>
    <w:rsid w:val="00C364BC"/>
    <w:rsid w:val="00E909E0"/>
    <w:rsid w:val="FDE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733</Words>
  <Characters>748</Characters>
  <Lines>41</Lines>
  <Paragraphs>20</Paragraphs>
  <TotalTime>7</TotalTime>
  <ScaleCrop>false</ScaleCrop>
  <LinksUpToDate>false</LinksUpToDate>
  <CharactersWithSpaces>1461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2024-02-05T09:50:00Z</dcterms:created>
  <dc:creator>钟秀霞</dc:creator>
  <cp:lastModifiedBy>李功伟</cp:lastModifiedBy>
  <dcterms:modified xsi:type="dcterms:W3CDTF">2023-12-07T13:05:18Z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