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60" w:lineRule="exac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pStyle w:val="6"/>
        <w:keepNext w:val="0"/>
        <w:keepLines w:val="0"/>
        <w:pageBreakBefore w:val="0"/>
        <w:kinsoku/>
        <w:wordWrap/>
        <w:overflowPunct/>
        <w:topLinePunct w:val="0"/>
        <w:autoSpaceDE/>
        <w:autoSpaceDN/>
        <w:bidi w:val="0"/>
        <w:snapToGrid/>
        <w:spacing w:line="560" w:lineRule="exact"/>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ascii="方正小标宋简体" w:hAnsi="Calibri" w:eastAsia="方正小标宋简体" w:cs="Arial"/>
          <w:kern w:val="0"/>
          <w:sz w:val="44"/>
          <w:szCs w:val="44"/>
          <w:lang w:val="en-US" w:eastAsia="zh-CN" w:bidi="ar"/>
        </w:rPr>
      </w:pPr>
      <w:r>
        <w:rPr>
          <w:rFonts w:hint="eastAsia" w:ascii="方正小标宋简体" w:hAnsi="Calibri" w:eastAsia="方正小标宋简体" w:cs="Arial"/>
          <w:kern w:val="0"/>
          <w:sz w:val="44"/>
          <w:szCs w:val="44"/>
          <w:lang w:val="en-US" w:eastAsia="zh-CN" w:bidi="ar"/>
        </w:rPr>
        <w:t>关于</w:t>
      </w:r>
      <w:r>
        <w:rPr>
          <w:rFonts w:hint="eastAsia" w:ascii="方正小标宋简体" w:hAnsi="Times New Roman" w:eastAsia="方正小标宋简体" w:cs="Times New Roman"/>
          <w:kern w:val="0"/>
          <w:sz w:val="44"/>
          <w:szCs w:val="44"/>
          <w:lang w:val="en-US" w:eastAsia="zh-CN" w:bidi="ar"/>
        </w:rPr>
        <w:t>《北京市昌平区碳达峰实施方案</w:t>
      </w:r>
      <w:r>
        <w:rPr>
          <w:rFonts w:hint="eastAsia" w:ascii="方正小标宋简体" w:eastAsia="方正小标宋简体" w:cs="Times New Roman"/>
          <w:kern w:val="0"/>
          <w:sz w:val="44"/>
          <w:szCs w:val="44"/>
          <w:lang w:val="en-US" w:eastAsia="zh-CN" w:bidi="ar"/>
        </w:rPr>
        <w:t>（征求</w:t>
      </w:r>
      <w:bookmarkStart w:id="0" w:name="_GoBack"/>
      <w:bookmarkEnd w:id="0"/>
      <w:r>
        <w:rPr>
          <w:rFonts w:hint="eastAsia" w:ascii="方正小标宋简体" w:eastAsia="方正小标宋简体" w:cs="Times New Roman"/>
          <w:kern w:val="0"/>
          <w:sz w:val="44"/>
          <w:szCs w:val="44"/>
          <w:lang w:val="en-US" w:eastAsia="zh-CN" w:bidi="ar"/>
        </w:rPr>
        <w:t>意见稿）</w:t>
      </w:r>
      <w:r>
        <w:rPr>
          <w:rFonts w:hint="eastAsia" w:ascii="方正小标宋简体" w:hAnsi="Times New Roman" w:eastAsia="方正小标宋简体" w:cs="Times New Roman"/>
          <w:kern w:val="0"/>
          <w:sz w:val="44"/>
          <w:szCs w:val="44"/>
          <w:lang w:val="en-US" w:eastAsia="zh-CN" w:bidi="ar"/>
        </w:rPr>
        <w:t>》</w:t>
      </w:r>
      <w:r>
        <w:rPr>
          <w:rFonts w:hint="eastAsia" w:ascii="方正小标宋简体" w:hAnsi="Calibri" w:eastAsia="方正小标宋简体" w:cs="Arial"/>
          <w:kern w:val="0"/>
          <w:sz w:val="44"/>
          <w:szCs w:val="44"/>
          <w:lang w:val="en-US" w:eastAsia="zh-CN" w:bidi="ar"/>
        </w:rPr>
        <w:t>的起草说明</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黑体" w:hAnsi="黑体" w:eastAsia="黑体" w:cs="Arial"/>
          <w:sz w:val="32"/>
          <w:szCs w:val="32"/>
        </w:rPr>
      </w:pP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黑体" w:hAnsi="黑体" w:eastAsia="黑体" w:cs="Arial"/>
          <w:sz w:val="32"/>
          <w:szCs w:val="32"/>
        </w:rPr>
      </w:pPr>
      <w:r>
        <w:rPr>
          <w:rFonts w:hint="eastAsia" w:ascii="黑体" w:hAnsi="黑体" w:eastAsia="黑体" w:cs="Arial"/>
          <w:sz w:val="32"/>
          <w:szCs w:val="32"/>
        </w:rPr>
        <w:t>一、起草背景</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eastAsia="仿宋_GB2312" w:cs="仿宋_GB2312"/>
          <w:kern w:val="2"/>
          <w:sz w:val="32"/>
          <w:szCs w:val="32"/>
        </w:rPr>
        <w:t>实现碳达峰碳中和，是以习近平同志为核心的党中央统筹国内国际两个大局作出的重大战略决策，是立足新发展阶段、贯彻新发展理念、构建新发展格局、推动高质量发展的内在要求。为深入贯彻落实国家和北京市</w:t>
      </w:r>
      <w:r>
        <w:rPr>
          <w:rFonts w:hint="eastAsia" w:ascii="仿宋_GB2312" w:eastAsia="仿宋_GB2312" w:cs="仿宋_GB2312"/>
          <w:kern w:val="2"/>
          <w:sz w:val="32"/>
          <w:szCs w:val="32"/>
          <w:lang w:eastAsia="zh-CN"/>
        </w:rPr>
        <w:t>碳达峰碳中和</w:t>
      </w:r>
      <w:r>
        <w:rPr>
          <w:rFonts w:hint="eastAsia" w:ascii="仿宋_GB2312" w:eastAsia="仿宋_GB2312" w:cs="仿宋_GB2312"/>
          <w:kern w:val="2"/>
          <w:sz w:val="32"/>
          <w:szCs w:val="32"/>
        </w:rPr>
        <w:t>决策部署，有序推进</w:t>
      </w:r>
      <w:r>
        <w:rPr>
          <w:rFonts w:hint="eastAsia" w:ascii="仿宋_GB2312" w:eastAsia="仿宋_GB2312" w:cs="仿宋_GB2312"/>
          <w:kern w:val="2"/>
          <w:sz w:val="32"/>
          <w:szCs w:val="32"/>
          <w:lang w:eastAsia="zh-CN"/>
        </w:rPr>
        <w:t>本区</w:t>
      </w:r>
      <w:r>
        <w:rPr>
          <w:rFonts w:hint="eastAsia" w:ascii="仿宋_GB2312" w:eastAsia="仿宋_GB2312" w:cs="仿宋_GB2312"/>
          <w:kern w:val="2"/>
          <w:sz w:val="32"/>
          <w:szCs w:val="32"/>
        </w:rPr>
        <w:t>碳达峰碳中和</w:t>
      </w:r>
      <w:r>
        <w:rPr>
          <w:rFonts w:hint="eastAsia" w:ascii="仿宋_GB2312" w:eastAsia="仿宋_GB2312" w:cs="仿宋_GB2312"/>
          <w:kern w:val="2"/>
          <w:sz w:val="32"/>
          <w:szCs w:val="32"/>
          <w:lang w:eastAsia="zh-CN"/>
        </w:rPr>
        <w:t>工作，</w:t>
      </w:r>
      <w:r>
        <w:rPr>
          <w:rFonts w:hint="eastAsia" w:ascii="仿宋_GB2312" w:eastAsia="仿宋_GB2312" w:cs="仿宋_GB2312"/>
          <w:kern w:val="2"/>
          <w:sz w:val="32"/>
          <w:szCs w:val="32"/>
        </w:rPr>
        <w:t>更好支撑</w:t>
      </w:r>
      <w:r>
        <w:rPr>
          <w:rFonts w:hint="eastAsia" w:ascii="仿宋_GB2312" w:eastAsia="仿宋_GB2312" w:cs="仿宋_GB2312"/>
          <w:kern w:val="2"/>
          <w:sz w:val="32"/>
          <w:szCs w:val="32"/>
          <w:lang w:eastAsia="zh-CN"/>
        </w:rPr>
        <w:t>“四区”建设和</w:t>
      </w:r>
      <w:r>
        <w:rPr>
          <w:rFonts w:hint="eastAsia" w:ascii="仿宋_GB2312" w:eastAsia="仿宋_GB2312" w:cs="仿宋_GB2312"/>
          <w:kern w:val="2"/>
          <w:sz w:val="32"/>
          <w:szCs w:val="32"/>
        </w:rPr>
        <w:t>经济社会高质量发展，</w:t>
      </w:r>
      <w:r>
        <w:rPr>
          <w:rFonts w:hint="eastAsia" w:ascii="仿宋_GB2312" w:hAnsi="微软雅黑" w:eastAsia="仿宋_GB2312" w:cs="微软雅黑"/>
          <w:color w:val="auto"/>
          <w:kern w:val="2"/>
          <w:sz w:val="32"/>
          <w:szCs w:val="32"/>
          <w:shd w:val="clear" w:color="auto" w:fill="FFFFFF"/>
          <w:lang w:val="en-US" w:eastAsia="zh-CN" w:bidi="ar-SA"/>
        </w:rPr>
        <w:t>昌平区</w:t>
      </w:r>
      <w:r>
        <w:rPr>
          <w:rFonts w:hint="eastAsia" w:ascii="仿宋_GB2312" w:eastAsia="仿宋_GB2312" w:cs="仿宋_GB2312"/>
          <w:kern w:val="2"/>
          <w:sz w:val="32"/>
          <w:szCs w:val="32"/>
          <w:lang w:eastAsia="zh-CN"/>
        </w:rPr>
        <w:t>研究起草</w:t>
      </w:r>
      <w:r>
        <w:rPr>
          <w:rFonts w:hint="eastAsia" w:ascii="仿宋_GB2312" w:eastAsia="仿宋_GB2312" w:cs="仿宋_GB2312"/>
          <w:kern w:val="2"/>
          <w:sz w:val="32"/>
          <w:szCs w:val="32"/>
        </w:rPr>
        <w:t>了《</w:t>
      </w:r>
      <w:r>
        <w:rPr>
          <w:rFonts w:hint="eastAsia" w:ascii="仿宋_GB2312" w:eastAsia="仿宋_GB2312" w:cs="仿宋_GB2312"/>
          <w:kern w:val="2"/>
          <w:sz w:val="32"/>
          <w:szCs w:val="32"/>
          <w:lang w:eastAsia="zh-CN"/>
        </w:rPr>
        <w:t>北京市昌平区</w:t>
      </w:r>
      <w:r>
        <w:rPr>
          <w:rFonts w:hint="eastAsia" w:ascii="仿宋_GB2312" w:eastAsia="仿宋_GB2312" w:cs="仿宋_GB2312"/>
          <w:kern w:val="2"/>
          <w:sz w:val="32"/>
          <w:szCs w:val="32"/>
        </w:rPr>
        <w:t>碳达峰实施方案》（以下简称《</w:t>
      </w:r>
      <w:r>
        <w:rPr>
          <w:rFonts w:hint="eastAsia" w:ascii="仿宋_GB2312" w:eastAsia="仿宋_GB2312" w:cs="仿宋_GB2312"/>
          <w:kern w:val="2"/>
          <w:sz w:val="32"/>
          <w:szCs w:val="32"/>
          <w:lang w:eastAsia="zh-CN"/>
        </w:rPr>
        <w:t>实施</w:t>
      </w:r>
      <w:r>
        <w:rPr>
          <w:rFonts w:hint="eastAsia" w:ascii="仿宋_GB2312" w:eastAsia="仿宋_GB2312" w:cs="仿宋_GB2312"/>
          <w:kern w:val="2"/>
          <w:sz w:val="32"/>
          <w:szCs w:val="32"/>
        </w:rPr>
        <w:t>方案》）</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黑体" w:hAnsi="黑体" w:eastAsia="黑体" w:cs="Arial"/>
          <w:sz w:val="32"/>
          <w:szCs w:val="32"/>
        </w:rPr>
      </w:pPr>
      <w:r>
        <w:rPr>
          <w:rFonts w:hint="eastAsia" w:ascii="黑体" w:hAnsi="黑体" w:eastAsia="黑体" w:cs="Arial"/>
          <w:sz w:val="32"/>
          <w:szCs w:val="32"/>
        </w:rPr>
        <w:t>二、起草过程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rPr>
      </w:pPr>
      <w:r>
        <w:rPr>
          <w:rFonts w:hint="eastAsia" w:ascii="仿宋_GB2312" w:eastAsia="仿宋_GB2312" w:cs="仿宋_GB2312"/>
          <w:kern w:val="2"/>
          <w:sz w:val="32"/>
          <w:szCs w:val="32"/>
          <w:lang w:eastAsia="zh-CN"/>
        </w:rPr>
        <w:t>按照《北京市碳达峰实施方案》、北京市碳达峰碳中和1+N政策体系等文件要求</w:t>
      </w:r>
      <w:r>
        <w:rPr>
          <w:rFonts w:hint="eastAsia" w:ascii="仿宋_GB2312" w:hAnsi="Times New Roman" w:eastAsia="仿宋_GB2312" w:cs="仿宋_GB2312"/>
          <w:sz w:val="32"/>
          <w:szCs w:val="32"/>
          <w:lang w:eastAsia="zh-CN"/>
        </w:rPr>
        <w:t>，</w:t>
      </w:r>
      <w:r>
        <w:rPr>
          <w:rFonts w:hint="eastAsia" w:ascii="仿宋_GB2312" w:eastAsia="仿宋_GB2312" w:cs="仿宋_GB2312"/>
          <w:sz w:val="32"/>
          <w:szCs w:val="32"/>
          <w:lang w:eastAsia="zh-CN"/>
        </w:rPr>
        <w:t>围绕市区两级工作部署，聚焦</w:t>
      </w:r>
      <w:r>
        <w:rPr>
          <w:rFonts w:hint="eastAsia" w:ascii="仿宋_GB2312" w:eastAsia="仿宋_GB2312" w:cs="仿宋_GB2312"/>
          <w:sz w:val="32"/>
          <w:szCs w:val="32"/>
          <w:lang w:val="en-US" w:eastAsia="zh-CN"/>
        </w:rPr>
        <w:t>加快</w:t>
      </w:r>
      <w:r>
        <w:rPr>
          <w:rFonts w:hint="eastAsia" w:ascii="仿宋_GB2312" w:eastAsia="仿宋_GB2312" w:cs="仿宋_GB2312"/>
          <w:sz w:val="32"/>
          <w:szCs w:val="32"/>
          <w:lang w:eastAsia="zh-CN"/>
        </w:rPr>
        <w:t>“四区”建设、实现高质量发展目标</w:t>
      </w:r>
      <w:r>
        <w:rPr>
          <w:rFonts w:hint="eastAsia" w:ascii="仿宋_GB2312" w:hAnsi="Times New Roman" w:eastAsia="仿宋_GB2312" w:cs="仿宋_GB2312"/>
          <w:sz w:val="32"/>
          <w:szCs w:val="32"/>
          <w:lang w:eastAsia="zh-CN"/>
        </w:rPr>
        <w:t>，</w:t>
      </w:r>
      <w:r>
        <w:rPr>
          <w:rFonts w:hint="eastAsia" w:ascii="仿宋_GB2312" w:eastAsia="仿宋_GB2312" w:cs="仿宋_GB2312"/>
          <w:sz w:val="32"/>
          <w:szCs w:val="32"/>
          <w:lang w:eastAsia="zh-CN"/>
        </w:rPr>
        <w:t>紧密结合昌平区实际，</w:t>
      </w:r>
      <w:r>
        <w:rPr>
          <w:rFonts w:hint="eastAsia" w:ascii="仿宋_GB2312" w:hAnsi="Times New Roman" w:eastAsia="仿宋_GB2312" w:cs="仿宋_GB2312"/>
          <w:sz w:val="32"/>
          <w:szCs w:val="32"/>
          <w:lang w:eastAsia="zh-CN"/>
        </w:rPr>
        <w:t>全面深入挖掘</w:t>
      </w:r>
      <w:r>
        <w:rPr>
          <w:rFonts w:hint="eastAsia" w:ascii="仿宋_GB2312" w:hAnsi="仿宋_GB2312" w:eastAsia="仿宋_GB2312" w:cs="仿宋_GB2312"/>
          <w:sz w:val="32"/>
          <w:szCs w:val="32"/>
        </w:rPr>
        <w:t>能源、建筑、交通、工业等领域</w:t>
      </w:r>
      <w:r>
        <w:rPr>
          <w:rFonts w:hint="eastAsia" w:ascii="仿宋_GB2312" w:hAnsi="仿宋_GB2312" w:eastAsia="仿宋_GB2312" w:cs="仿宋_GB2312"/>
          <w:sz w:val="32"/>
          <w:szCs w:val="32"/>
          <w:lang w:eastAsia="zh-CN"/>
        </w:rPr>
        <w:t>节能降碳潜力</w:t>
      </w:r>
      <w:r>
        <w:rPr>
          <w:rFonts w:hint="eastAsia" w:ascii="仿宋_GB2312" w:hAnsi="仿宋_GB2312" w:eastAsia="仿宋_GB2312" w:cs="仿宋_GB2312"/>
          <w:sz w:val="32"/>
          <w:szCs w:val="32"/>
        </w:rPr>
        <w:t>，</w:t>
      </w:r>
      <w:r>
        <w:rPr>
          <w:rFonts w:hint="eastAsia" w:ascii="仿宋_GB2312" w:hAnsi="Times New Roman" w:eastAsia="仿宋_GB2312" w:cs="仿宋_GB2312"/>
          <w:sz w:val="32"/>
          <w:szCs w:val="32"/>
          <w:lang w:eastAsia="zh-CN"/>
        </w:rPr>
        <w:t>分阶段提出2025年、2030年目标任务。</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黑体" w:hAnsi="黑体" w:eastAsia="黑体" w:cs="Arial"/>
          <w:sz w:val="32"/>
          <w:szCs w:val="32"/>
        </w:rPr>
      </w:pPr>
      <w:r>
        <w:rPr>
          <w:rFonts w:hint="eastAsia" w:ascii="黑体" w:hAnsi="黑体" w:eastAsia="黑体" w:cs="Arial"/>
          <w:sz w:val="32"/>
          <w:szCs w:val="32"/>
        </w:rPr>
        <w:t>三、主要内容的说明</w:t>
      </w:r>
    </w:p>
    <w:p>
      <w:pPr>
        <w:pStyle w:val="6"/>
        <w:keepNext w:val="0"/>
        <w:keepLines w:val="0"/>
        <w:pageBreakBefore w:val="0"/>
        <w:kinsoku/>
        <w:wordWrap/>
        <w:overflowPunct/>
        <w:topLinePunct w:val="0"/>
        <w:autoSpaceDE/>
        <w:autoSpaceDN/>
        <w:bidi w:val="0"/>
        <w:snapToGrid/>
        <w:spacing w:line="560" w:lineRule="exac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cs="仿宋_GB2312"/>
          <w:kern w:val="2"/>
          <w:sz w:val="32"/>
          <w:szCs w:val="32"/>
        </w:rPr>
        <w:t>《</w:t>
      </w:r>
      <w:r>
        <w:rPr>
          <w:rFonts w:hint="eastAsia" w:ascii="仿宋_GB2312" w:eastAsia="仿宋_GB2312" w:cs="仿宋_GB2312"/>
          <w:kern w:val="2"/>
          <w:sz w:val="32"/>
          <w:szCs w:val="32"/>
          <w:lang w:eastAsia="zh-CN"/>
        </w:rPr>
        <w:t>实施</w:t>
      </w:r>
      <w:r>
        <w:rPr>
          <w:rFonts w:hint="eastAsia" w:ascii="仿宋_GB2312" w:eastAsia="仿宋_GB2312" w:cs="仿宋_GB2312"/>
          <w:kern w:val="2"/>
          <w:sz w:val="32"/>
          <w:szCs w:val="32"/>
        </w:rPr>
        <w:t>方案》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主要分为总体要求、主要目标和重点任务三部分。</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sz w:val="32"/>
          <w:szCs w:val="32"/>
          <w:lang w:eastAsia="zh-CN"/>
        </w:rPr>
        <w:t>（一）</w:t>
      </w:r>
      <w:r>
        <w:rPr>
          <w:rFonts w:hint="eastAsia" w:ascii="楷体_GB2312" w:hAnsi="楷体_GB2312" w:eastAsia="楷体_GB2312" w:cs="楷体_GB2312"/>
          <w:b w:val="0"/>
          <w:bCs/>
          <w:sz w:val="32"/>
          <w:szCs w:val="32"/>
        </w:rPr>
        <w:t>总体要求</w:t>
      </w:r>
      <w:r>
        <w:rPr>
          <w:rFonts w:hint="eastAsia" w:ascii="楷体_GB2312" w:hAnsi="楷体_GB2312" w:eastAsia="楷体_GB2312" w:cs="楷体_GB2312"/>
          <w:b w:val="0"/>
          <w:bCs/>
          <w:sz w:val="32"/>
          <w:szCs w:val="32"/>
          <w:lang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强调了坚持以习近平新时代中国特色社会主义思想为指导，服务新时代首都发展，以经济社会发展全面绿色转型为引领，以能源绿色低碳发展为关键，坚持统筹谋划、各方协同，节约优先、绿色发展，创新引领、政策赋能，先立后破、安全降碳4个原则，努力为北京市实现碳达峰作出昌平贡献。</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sz w:val="32"/>
          <w:szCs w:val="32"/>
          <w:lang w:eastAsia="zh-CN"/>
        </w:rPr>
        <w:t>（二）主要目标。</w:t>
      </w:r>
      <w:r>
        <w:rPr>
          <w:rFonts w:hint="eastAsia" w:ascii="仿宋_GB2312" w:hAnsi="仿宋_GB2312" w:eastAsia="仿宋_GB2312" w:cs="仿宋_GB2312"/>
          <w:sz w:val="32"/>
          <w:szCs w:val="32"/>
        </w:rPr>
        <w:t>提出</w:t>
      </w:r>
      <w:r>
        <w:rPr>
          <w:rFonts w:hint="eastAsia" w:ascii="仿宋_GB2312" w:hAnsi="仿宋_GB2312" w:eastAsia="仿宋_GB2312" w:cs="仿宋_GB2312"/>
          <w:sz w:val="32"/>
          <w:szCs w:val="32"/>
          <w:lang w:eastAsia="zh-CN"/>
        </w:rPr>
        <w:t>“十四五”期间</w:t>
      </w:r>
      <w:r>
        <w:rPr>
          <w:rFonts w:hint="eastAsia" w:ascii="仿宋_GB2312" w:hAnsi="仿宋_GB2312" w:eastAsia="仿宋_GB2312" w:cs="仿宋_GB2312"/>
          <w:sz w:val="32"/>
          <w:szCs w:val="32"/>
        </w:rPr>
        <w:t>，碳达峰碳中和工作机制基本形成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绿色低碳循环发展的经济体系初步形成</w:t>
      </w:r>
      <w:r>
        <w:rPr>
          <w:rFonts w:hint="eastAsia" w:ascii="仿宋_GB2312" w:hAnsi="仿宋_GB2312" w:eastAsia="仿宋_GB2312" w:cs="仿宋_GB2312"/>
          <w:sz w:val="32"/>
          <w:szCs w:val="32"/>
          <w:lang w:eastAsia="zh-CN"/>
        </w:rPr>
        <w:t>；“十五五”期间</w:t>
      </w:r>
      <w:r>
        <w:rPr>
          <w:rFonts w:hint="eastAsia" w:ascii="仿宋_GB2312" w:hAnsi="仿宋_GB2312" w:eastAsia="仿宋_GB2312" w:cs="仿宋_GB2312"/>
          <w:sz w:val="32"/>
          <w:szCs w:val="32"/>
        </w:rPr>
        <w:t>，经济社会发展全面绿色转型取得显著成效</w:t>
      </w:r>
      <w:r>
        <w:rPr>
          <w:rFonts w:hint="eastAsia" w:ascii="仿宋_GB2312" w:hAnsi="仿宋_GB2312" w:eastAsia="仿宋_GB2312" w:cs="仿宋_GB2312"/>
          <w:sz w:val="32"/>
          <w:szCs w:val="32"/>
          <w:lang w:eastAsia="zh-CN"/>
        </w:rPr>
        <w:t>。相应提出</w:t>
      </w:r>
      <w:r>
        <w:rPr>
          <w:rFonts w:hint="eastAsia" w:ascii="仿宋_GB2312" w:hAnsi="仿宋_GB2312" w:eastAsia="仿宋_GB2312" w:cs="仿宋_GB2312"/>
          <w:sz w:val="32"/>
          <w:szCs w:val="32"/>
        </w:rPr>
        <w:t>了到</w:t>
      </w:r>
      <w:r>
        <w:rPr>
          <w:rFonts w:hint="eastAsia" w:ascii="仿宋_GB2312" w:hAnsi="仿宋_GB2312" w:eastAsia="仿宋_GB2312" w:cs="仿宋_GB2312"/>
          <w:bCs/>
          <w:sz w:val="32"/>
          <w:szCs w:val="32"/>
        </w:rPr>
        <w:t>2025年、2030年</w:t>
      </w:r>
      <w:r>
        <w:rPr>
          <w:rFonts w:hint="eastAsia" w:ascii="仿宋_GB2312" w:hAnsi="仿宋_GB2312" w:eastAsia="仿宋_GB2312" w:cs="仿宋_GB2312"/>
          <w:sz w:val="32"/>
          <w:szCs w:val="32"/>
        </w:rPr>
        <w:t>单位地区生产总值能耗、二氧化碳排放等阶段定性定量目标。</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bidi="ar"/>
        </w:rPr>
      </w:pPr>
      <w:r>
        <w:rPr>
          <w:rFonts w:hint="eastAsia" w:ascii="楷体_GB2312" w:hAnsi="楷体_GB2312" w:eastAsia="楷体_GB2312" w:cs="楷体_GB2312"/>
          <w:b w:val="0"/>
          <w:bCs/>
          <w:sz w:val="32"/>
          <w:szCs w:val="32"/>
          <w:lang w:eastAsia="zh-CN"/>
        </w:rPr>
        <w:t>（三）重点任务。</w:t>
      </w:r>
      <w:r>
        <w:rPr>
          <w:rFonts w:hint="eastAsia" w:ascii="仿宋_GB2312" w:hAnsi="仿宋_GB2312" w:eastAsia="仿宋_GB2312" w:cs="仿宋_GB2312"/>
          <w:b w:val="0"/>
          <w:bCs/>
          <w:sz w:val="32"/>
          <w:szCs w:val="32"/>
        </w:rPr>
        <w:t>共包括</w:t>
      </w: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rPr>
        <w:t>个方面</w:t>
      </w:r>
      <w:r>
        <w:rPr>
          <w:rFonts w:hint="eastAsia" w:ascii="仿宋_GB2312" w:hAnsi="仿宋_GB2312" w:eastAsia="仿宋_GB2312" w:cs="仿宋_GB2312"/>
          <w:b w:val="0"/>
          <w:bCs/>
          <w:sz w:val="32"/>
          <w:szCs w:val="32"/>
          <w:lang w:val="en-US" w:eastAsia="zh-CN"/>
        </w:rPr>
        <w:t>23</w:t>
      </w:r>
      <w:r>
        <w:rPr>
          <w:rFonts w:hint="eastAsia" w:ascii="仿宋_GB2312" w:hAnsi="仿宋_GB2312" w:eastAsia="仿宋_GB2312" w:cs="仿宋_GB2312"/>
          <w:b w:val="0"/>
          <w:bCs/>
          <w:sz w:val="32"/>
          <w:szCs w:val="32"/>
        </w:rPr>
        <w:t>项</w:t>
      </w:r>
      <w:r>
        <w:rPr>
          <w:rFonts w:hint="eastAsia" w:ascii="仿宋_GB2312" w:hAnsi="仿宋_GB2312" w:eastAsia="仿宋_GB2312" w:cs="仿宋_GB2312"/>
          <w:b w:val="0"/>
          <w:bCs/>
          <w:sz w:val="32"/>
          <w:szCs w:val="32"/>
          <w:lang w:eastAsia="zh-CN"/>
        </w:rPr>
        <w:t>重点</w:t>
      </w:r>
      <w:r>
        <w:rPr>
          <w:rFonts w:hint="eastAsia" w:ascii="仿宋_GB2312" w:hAnsi="仿宋_GB2312" w:eastAsia="仿宋_GB2312" w:cs="仿宋_GB2312"/>
          <w:b w:val="0"/>
          <w:bCs/>
          <w:sz w:val="32"/>
          <w:szCs w:val="32"/>
        </w:rPr>
        <w:t>任务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sz w:val="32"/>
          <w:szCs w:val="32"/>
          <w:lang w:val="en-US" w:eastAsia="zh-CN" w:bidi="ar"/>
        </w:rPr>
        <w:t>每项任务都明确了责任单位。</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一是</w:t>
      </w:r>
      <w:r>
        <w:rPr>
          <w:rFonts w:hint="eastAsia" w:ascii="仿宋_GB2312" w:hAnsi="仿宋_GB2312" w:eastAsia="仿宋_GB2312" w:cs="仿宋_GB2312"/>
          <w:b w:val="0"/>
          <w:bCs w:val="0"/>
          <w:kern w:val="2"/>
          <w:sz w:val="32"/>
          <w:szCs w:val="32"/>
          <w:lang w:val="en-US" w:eastAsia="zh-CN" w:bidi="ar"/>
        </w:rPr>
        <w:t>推动经济社会全面绿色转型。包括强化绿色低碳规划引领，构建绿色低碳发展格局，未来科学城打造综合能源先行示范区，实施绿色低碳全民行动，共4项具体任务。</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构建绿色低碳创新产业体系。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包括</w:t>
      </w:r>
      <w:r>
        <w:rPr>
          <w:rFonts w:hint="eastAsia" w:ascii="仿宋_GB2312" w:hAnsi="仿宋_GB2312" w:eastAsia="仿宋_GB2312" w:cs="仿宋_GB2312"/>
          <w:b w:val="0"/>
          <w:bCs w:val="0"/>
          <w:kern w:val="2"/>
          <w:sz w:val="32"/>
          <w:szCs w:val="32"/>
          <w:lang w:val="en-US" w:eastAsia="zh-CN" w:bidi="ar"/>
        </w:rPr>
        <w:t>培育产业绿色发展动能，推动产业发展提质转型，重点行业绿色标杆引领，大力提升低碳创新能力，高效推动低碳成果转化，共5项具体任务。</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加快重点领域节能低碳发展。包括提升建筑绿色发展水平</w:t>
      </w:r>
      <w:r>
        <w:rPr>
          <w:rFonts w:hint="eastAsia" w:ascii="仿宋_GB2312" w:hAnsi="仿宋_GB2312" w:eastAsia="仿宋_GB2312" w:cs="仿宋_GB2312"/>
          <w:b w:val="0"/>
          <w:bCs w:val="0"/>
          <w:kern w:val="2"/>
          <w:sz w:val="32"/>
          <w:szCs w:val="32"/>
          <w:lang w:val="en-US" w:eastAsia="zh-CN" w:bidi="ar"/>
        </w:rPr>
        <w:t>，构建低碳交通运输体系，大力推动循环经济发展，增强生态系统碳汇能力，共4项具体任务。</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四是</w:t>
      </w:r>
      <w:r>
        <w:rPr>
          <w:rFonts w:hint="eastAsia" w:ascii="仿宋_GB2312" w:hAnsi="仿宋_GB2312" w:eastAsia="仿宋_GB2312" w:cs="仿宋_GB2312"/>
          <w:color w:val="000000" w:themeColor="text1"/>
          <w:sz w:val="32"/>
          <w:szCs w:val="32"/>
          <w:shd w:val="clear"/>
          <w:lang w:val="en-US" w:eastAsia="zh-CN"/>
          <w14:textFill>
            <w14:solidFill>
              <w14:schemeClr w14:val="tx1"/>
            </w14:solidFill>
          </w14:textFill>
        </w:rPr>
        <w:t>推进能源领域清洁低碳转型</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。包括</w:t>
      </w:r>
      <w:r>
        <w:rPr>
          <w:rFonts w:hint="eastAsia" w:ascii="仿宋_GB2312" w:hAnsi="仿宋_GB2312" w:eastAsia="仿宋_GB2312" w:cs="仿宋_GB2312"/>
          <w:b w:val="0"/>
          <w:bCs w:val="0"/>
          <w:kern w:val="2"/>
          <w:sz w:val="32"/>
          <w:szCs w:val="32"/>
          <w:lang w:val="en-US" w:eastAsia="zh-CN" w:bidi="ar"/>
        </w:rPr>
        <w:t>大力发展可再生能源，合理引导天然气消费、基础设施绿色化提升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kern w:val="2"/>
          <w:sz w:val="32"/>
          <w:szCs w:val="32"/>
          <w:lang w:val="en-US" w:eastAsia="zh-CN" w:bidi="ar"/>
        </w:rPr>
        <w:t>共3项具体任务。</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五是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健全政策体系与管理能力。包括</w:t>
      </w:r>
      <w:r>
        <w:rPr>
          <w:rFonts w:hint="eastAsia" w:ascii="仿宋_GB2312" w:hAnsi="仿宋_GB2312" w:eastAsia="仿宋_GB2312" w:cs="仿宋_GB2312"/>
          <w:b w:val="0"/>
          <w:bCs w:val="0"/>
          <w:kern w:val="2"/>
          <w:sz w:val="32"/>
          <w:szCs w:val="32"/>
          <w:lang w:val="en-US" w:eastAsia="zh-CN" w:bidi="ar"/>
        </w:rPr>
        <w:t>完善激励约束机制，提升统计监测能力，强化重点单位管理，开展低碳零碳示范，共4项具体任务。</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六是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加强组织领导与实施保障。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包括</w:t>
      </w:r>
      <w:r>
        <w:rPr>
          <w:rFonts w:hint="eastAsia" w:ascii="仿宋_GB2312" w:hAnsi="仿宋_GB2312" w:eastAsia="仿宋_GB2312" w:cs="仿宋_GB2312"/>
          <w:b w:val="0"/>
          <w:bCs w:val="0"/>
          <w:kern w:val="2"/>
          <w:sz w:val="32"/>
          <w:szCs w:val="32"/>
          <w:lang w:val="en-US" w:eastAsia="zh-CN" w:bidi="ar"/>
        </w:rPr>
        <w:t>强化统筹协调，加强监督考核，开展动态评估，共3项具体任务。</w:t>
      </w:r>
    </w:p>
    <w:p>
      <w:pPr>
        <w:pStyle w:val="6"/>
        <w:rPr>
          <w:rFonts w:hint="eastAsia" w:ascii="楷体_GB2312" w:hAnsi="Times New Roman" w:eastAsia="楷体_GB2312" w:cs="仿宋_GB2312"/>
          <w:kern w:val="2"/>
          <w:sz w:val="32"/>
          <w:szCs w:val="32"/>
          <w:lang w:val="en-US" w:eastAsia="zh-CN" w:bidi="ar-S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DF2FC6"/>
    <w:rsid w:val="04480C24"/>
    <w:rsid w:val="05D505AE"/>
    <w:rsid w:val="0A624254"/>
    <w:rsid w:val="0A971EBD"/>
    <w:rsid w:val="0AE42347"/>
    <w:rsid w:val="0B0E3A32"/>
    <w:rsid w:val="0CE07AA0"/>
    <w:rsid w:val="15DC7464"/>
    <w:rsid w:val="196F1F76"/>
    <w:rsid w:val="1B3319F1"/>
    <w:rsid w:val="1BAC3917"/>
    <w:rsid w:val="1F0F086B"/>
    <w:rsid w:val="20463E7E"/>
    <w:rsid w:val="25F35077"/>
    <w:rsid w:val="28326F4A"/>
    <w:rsid w:val="2D004E0D"/>
    <w:rsid w:val="2D62031B"/>
    <w:rsid w:val="2F6651F1"/>
    <w:rsid w:val="307A4D46"/>
    <w:rsid w:val="30E25E15"/>
    <w:rsid w:val="30E34165"/>
    <w:rsid w:val="32F33901"/>
    <w:rsid w:val="33F7780C"/>
    <w:rsid w:val="33FC625A"/>
    <w:rsid w:val="35CB2973"/>
    <w:rsid w:val="37C62125"/>
    <w:rsid w:val="3B9934F6"/>
    <w:rsid w:val="3EAC4107"/>
    <w:rsid w:val="40B91BD1"/>
    <w:rsid w:val="41463D60"/>
    <w:rsid w:val="43DF2FC6"/>
    <w:rsid w:val="45843FA0"/>
    <w:rsid w:val="48EE70A9"/>
    <w:rsid w:val="4E2272E4"/>
    <w:rsid w:val="4FFE7150"/>
    <w:rsid w:val="500B2641"/>
    <w:rsid w:val="524F7E13"/>
    <w:rsid w:val="53CC0CE5"/>
    <w:rsid w:val="57A42EA3"/>
    <w:rsid w:val="58656471"/>
    <w:rsid w:val="59445E96"/>
    <w:rsid w:val="5B391742"/>
    <w:rsid w:val="66713871"/>
    <w:rsid w:val="684C2D99"/>
    <w:rsid w:val="6AC9580C"/>
    <w:rsid w:val="6BF501E1"/>
    <w:rsid w:val="6FBD4E59"/>
    <w:rsid w:val="734224FE"/>
    <w:rsid w:val="772C1EFE"/>
    <w:rsid w:val="7B604705"/>
    <w:rsid w:val="7B7858D6"/>
    <w:rsid w:val="7EFB6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0" w:beforeAutospacing="0" w:after="0" w:afterAutospacing="0"/>
      <w:jc w:val="left"/>
      <w:outlineLvl w:val="0"/>
    </w:pPr>
    <w:rPr>
      <w:rFonts w:hint="eastAsia" w:ascii="宋体" w:hAnsi="宋体" w:eastAsia="黑体" w:cs="宋体"/>
      <w:kern w:val="44"/>
      <w:sz w:val="32"/>
      <w:szCs w:val="48"/>
      <w:lang w:bidi="ar"/>
    </w:rPr>
  </w:style>
  <w:style w:type="paragraph" w:styleId="5">
    <w:name w:val="heading 2"/>
    <w:basedOn w:val="1"/>
    <w:next w:val="1"/>
    <w:semiHidden/>
    <w:unhideWhenUsed/>
    <w:qFormat/>
    <w:uiPriority w:val="0"/>
    <w:pPr>
      <w:keepNext/>
      <w:keepLines/>
      <w:spacing w:beforeLines="0" w:beforeAutospacing="0" w:afterLines="0" w:afterAutospacing="0" w:line="560" w:lineRule="exact"/>
      <w:ind w:firstLine="880" w:firstLineChars="200"/>
      <w:outlineLvl w:val="1"/>
    </w:pPr>
    <w:rPr>
      <w:rFonts w:ascii="Arial" w:hAnsi="Arial" w:eastAsia="楷体_GB2312" w:cs="Times New Roman"/>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560" w:lineRule="exact"/>
    </w:pPr>
    <w:rPr>
      <w:rFonts w:ascii="Times New Roman" w:hAnsi="Times New Roman" w:eastAsia="仿宋_GB2312" w:cs="Times New Roman"/>
      <w:sz w:val="32"/>
      <w:szCs w:val="22"/>
    </w:rPr>
  </w:style>
  <w:style w:type="paragraph" w:customStyle="1" w:styleId="3">
    <w:name w:val="目录 11"/>
    <w:next w:val="1"/>
    <w:qFormat/>
    <w:uiPriority w:val="0"/>
    <w:pPr>
      <w:wordWrap w:val="0"/>
      <w:jc w:val="both"/>
    </w:pPr>
    <w:rPr>
      <w:rFonts w:ascii="Times New Roman" w:hAnsi="Times New Roman" w:eastAsia="宋体" w:cs="Calibri"/>
      <w:sz w:val="21"/>
      <w:szCs w:val="21"/>
      <w:lang w:val="en-US" w:eastAsia="zh-CN" w:bidi="ar-SA"/>
    </w:rPr>
  </w:style>
  <w:style w:type="paragraph" w:styleId="6">
    <w:name w:val="Normal Indent"/>
    <w:qFormat/>
    <w:uiPriority w:val="0"/>
    <w:pPr>
      <w:widowControl w:val="0"/>
      <w:adjustRightInd w:val="0"/>
      <w:spacing w:line="312" w:lineRule="atLeast"/>
      <w:ind w:firstLine="420" w:firstLineChars="200"/>
      <w:jc w:val="both"/>
      <w:textAlignment w:val="baseline"/>
    </w:pPr>
    <w:rPr>
      <w:rFonts w:ascii="楷体_GB2312" w:hAnsi="Times New Roman" w:eastAsia="楷体_GB2312" w:cs="Times New Roman"/>
      <w:kern w:val="2"/>
      <w:sz w:val="28"/>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2022-07-27T08:16:00Z</dcterms:created>
  <dc:creator>Administrator</dc:creator>
  <cp:lastModifiedBy>Administrator</cp:lastModifiedBy>
  <cp:lastPrinted>2023-09-01T07:10:00Z</cp:lastPrinted>
  <dcterms:modified xsi:type="dcterms:W3CDTF">2023-09-04T03:11:54Z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