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8B" w:rsidRDefault="00934F8B" w:rsidP="00934F8B">
      <w:pPr>
        <w:jc w:val="left"/>
        <w:rPr>
          <w:rFonts w:hint="eastAsia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val="zh-TW" w:bidi="zh-TW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  <w:lang w:bidi="zh-TW"/>
        </w:rPr>
        <w:t>1</w:t>
      </w:r>
    </w:p>
    <w:p w:rsidR="00934F8B" w:rsidRDefault="00934F8B" w:rsidP="00934F8B">
      <w:pPr>
        <w:jc w:val="center"/>
        <w:rPr>
          <w:rFonts w:ascii="黑体" w:eastAsia="黑体" w:hAnsi="黑体" w:cs="黑体" w:hint="eastAsia"/>
          <w:color w:val="000000"/>
          <w:sz w:val="30"/>
          <w:szCs w:val="30"/>
          <w:lang w:val="zh-TW" w:bidi="zh-TW"/>
        </w:rPr>
      </w:pPr>
      <w:r>
        <w:rPr>
          <w:rFonts w:ascii="黑体" w:eastAsia="黑体" w:hAnsi="黑体" w:cs="黑体"/>
          <w:color w:val="000000"/>
          <w:sz w:val="30"/>
          <w:szCs w:val="30"/>
          <w:lang w:val="zh-TW" w:eastAsia="zh-TW" w:bidi="zh-TW"/>
        </w:rPr>
        <w:t>绿色社区创建情况自评表</w:t>
      </w:r>
    </w:p>
    <w:p w:rsidR="00934F8B" w:rsidRDefault="00934F8B" w:rsidP="00934F8B">
      <w:pPr>
        <w:pStyle w:val="2"/>
        <w:spacing w:beforeLines="100" w:afterLines="50" w:line="240" w:lineRule="auto"/>
        <w:rPr>
          <w:rFonts w:hint="eastAsia"/>
          <w:u w:val="single"/>
          <w:lang w:val="zh-TW" w:bidi="zh-TW"/>
        </w:rPr>
      </w:pPr>
      <w:r>
        <w:rPr>
          <w:rFonts w:hint="eastAsia"/>
          <w:lang w:val="zh-TW" w:bidi="zh-TW"/>
        </w:rPr>
        <w:t>社区名称：</w:t>
      </w:r>
      <w:r>
        <w:rPr>
          <w:rFonts w:hint="eastAsia"/>
          <w:u w:val="single"/>
          <w:lang w:val="zh-TW" w:bidi="zh-TW"/>
        </w:rPr>
        <w:t xml:space="preserve">                                                                    </w:t>
      </w:r>
      <w:r>
        <w:rPr>
          <w:rFonts w:hint="eastAsia"/>
          <w:lang w:val="zh-TW" w:bidi="zh-TW"/>
        </w:rPr>
        <w:t xml:space="preserve">  </w:t>
      </w:r>
      <w:r>
        <w:rPr>
          <w:rFonts w:hint="eastAsia"/>
          <w:lang w:val="zh-TW" w:bidi="zh-TW"/>
        </w:rPr>
        <w:t>所属街道（镇）：</w:t>
      </w:r>
      <w:r>
        <w:rPr>
          <w:rFonts w:hint="eastAsia"/>
          <w:u w:val="single"/>
          <w:lang w:val="zh-TW" w:bidi="zh-TW"/>
        </w:rPr>
        <w:t xml:space="preserve">                                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1130"/>
        <w:gridCol w:w="3646"/>
        <w:gridCol w:w="4719"/>
        <w:gridCol w:w="710"/>
        <w:gridCol w:w="2869"/>
      </w:tblGrid>
      <w:tr w:rsidR="00934F8B" w:rsidTr="006B3D81">
        <w:trPr>
          <w:trHeight w:val="498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序号</w:t>
            </w:r>
          </w:p>
        </w:tc>
        <w:tc>
          <w:tcPr>
            <w:tcW w:w="409" w:type="pc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内容</w:t>
            </w: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创建标准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相应措施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是否达标</w:t>
            </w: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指导单位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09" w:type="pct"/>
            <w:vMerge w:val="restart"/>
            <w:vAlign w:val="center"/>
          </w:tcPr>
          <w:p w:rsidR="00934F8B" w:rsidRDefault="00934F8B" w:rsidP="006B3D81">
            <w:pPr>
              <w:spacing w:line="270" w:lineRule="exact"/>
              <w:jc w:val="center"/>
              <w:rPr>
                <w:rFonts w:ascii="Calibri" w:hAnsi="Calibri"/>
                <w:szCs w:val="22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（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zh-TW" w:eastAsia="zh-TW" w:bidi="zh-TW"/>
              </w:rPr>
              <w:t>一）建立健全社区人居环境建设和整治机制</w:t>
            </w: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统筹协调业主委员会、物业管理委员会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社区内的机关和企事业单位等联系机制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，共同参与绿色社区创建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成立居委会、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业委会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、物管会等组织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市民政局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创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TW" w:bidi="zh-TW"/>
              </w:rPr>
              <w:t>立绿色社区联系机制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，定期讨论社区治理问题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充分利用现有沟通议事平台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，开展多种形式基层协商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定期召开基层协商会议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市民政局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搭建网络沟通平台(如微信、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微博等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)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规划师、设计师、工程师进社区，辅导居民有效谋划人居环境建设和整治方案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组织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规划师、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设计师、工程师进社区培训交流活动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市规划自然资源委、市住房城乡建设委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开展社区整治宣传、方案征集工作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trHeight w:val="256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409" w:type="pct"/>
            <w:vMerge w:val="restart"/>
            <w:vAlign w:val="center"/>
          </w:tcPr>
          <w:p w:rsidR="00934F8B" w:rsidRDefault="00934F8B" w:rsidP="006B3D81">
            <w:pPr>
              <w:spacing w:line="274" w:lineRule="exact"/>
              <w:jc w:val="center"/>
              <w:rPr>
                <w:rFonts w:ascii="宋体" w:hAnsi="宋体" w:cs="宋体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en-US"/>
              </w:rPr>
              <w:t>（</w:t>
            </w:r>
            <w:r>
              <w:rPr>
                <w:rFonts w:ascii="Calibri" w:hAnsi="Calibri" w:hint="eastAsia"/>
                <w:color w:val="000000"/>
                <w:sz w:val="20"/>
                <w:szCs w:val="20"/>
                <w:lang w:bidi="en-US"/>
              </w:rPr>
              <w:t>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en-US"/>
              </w:rPr>
              <w:t>）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zh-TW" w:eastAsia="zh-TW" w:bidi="zh-TW"/>
              </w:rPr>
              <w:t>推进社区基础设施绿色化</w:t>
            </w: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社区各类基础设施比较完善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水、电、气、热、通信等设施完善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市城市管理委、市住房城乡建设委、各管线权属单位</w:t>
            </w:r>
          </w:p>
        </w:tc>
      </w:tr>
      <w:tr w:rsidR="00934F8B" w:rsidTr="006B3D81">
        <w:trPr>
          <w:trHeight w:val="212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spacing w:line="274" w:lineRule="exact"/>
              <w:ind w:firstLine="180"/>
              <w:jc w:val="center"/>
              <w:rPr>
                <w:rFonts w:ascii="宋体" w:hAnsi="宋体" w:cs="宋体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公共区域有必要的照明设施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trHeight w:val="23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9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消除安全隐患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zh-TW"/>
              </w:rPr>
              <w:t>建立日常消防巡检制度，留存巡检记录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市消防救援总队、市住房城乡建设委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0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在建设和改造中落实经济适用、绿色环保、清洁低碳理念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采用节能照明设施、节水器具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市住房城乡建设委、市市场监督管理局、</w:t>
            </w:r>
            <w:r>
              <w:rPr>
                <w:rFonts w:ascii="宋体" w:hAnsi="宋体" w:cs="宋体" w:hint="eastAsia"/>
                <w:sz w:val="20"/>
                <w:szCs w:val="20"/>
                <w:lang w:bidi="zh-TW"/>
              </w:rPr>
              <w:t>市发展改革委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采用可再生能源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采用绿色认证建材和建筑垃圾资源化再生产品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生活垃圾分类社区全覆盖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设有分类垃圾投放点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市城市管理委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开展了海绵化改造和建设，无内涝积水问题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实施透水铺装，无易积滞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水区域</w:t>
            </w:r>
            <w:proofErr w:type="gramEnd"/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市水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局、市规划自然资源委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409" w:type="pct"/>
            <w:vMerge w:val="restart"/>
            <w:vAlign w:val="center"/>
          </w:tcPr>
          <w:p w:rsidR="00934F8B" w:rsidRDefault="00934F8B" w:rsidP="006B3D81">
            <w:pPr>
              <w:spacing w:line="295" w:lineRule="exact"/>
              <w:jc w:val="center"/>
              <w:rPr>
                <w:rFonts w:ascii="Calibri" w:hAnsi="Calibri"/>
                <w:szCs w:val="22"/>
                <w:lang w:eastAsia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（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zh-TW" w:eastAsia="zh-TW" w:bidi="zh-TW"/>
              </w:rPr>
              <w:t>三）营造社区宜居环境</w:t>
            </w: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社区绿地布局合理，有公共活动空间和设施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建有社区绿地、配备健身设施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市规划自然资源委、市园林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绿化局</w:t>
            </w:r>
            <w:proofErr w:type="gramEnd"/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16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spacing w:line="295" w:lineRule="exact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val="zh-TW" w:bidi="zh-TW"/>
              </w:rPr>
              <w:t>绿地景观良好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zh-TW"/>
              </w:rPr>
              <w:t>绿地管理有固定养护人员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zh-TW"/>
              </w:rPr>
              <w:t>市园林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  <w:lang w:bidi="zh-TW"/>
              </w:rPr>
              <w:t>绿化局</w:t>
            </w:r>
            <w:proofErr w:type="gramEnd"/>
          </w:p>
        </w:tc>
      </w:tr>
      <w:tr w:rsidR="00934F8B" w:rsidTr="006B3D81">
        <w:trPr>
          <w:trHeight w:val="351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公共空间开展了无障碍设施建设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适老化改造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配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有地面防滑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扶手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、坡道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等设施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市残联、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市规划自然资源委、市住房城乡建设委、市民政局、</w:t>
            </w:r>
          </w:p>
        </w:tc>
      </w:tr>
    </w:tbl>
    <w:p w:rsidR="00934F8B" w:rsidRDefault="00934F8B" w:rsidP="00934F8B">
      <w:pPr>
        <w:jc w:val="center"/>
        <w:rPr>
          <w:szCs w:val="22"/>
        </w:rPr>
        <w:sectPr w:rsidR="00934F8B">
          <w:headerReference w:type="even" r:id="rId4"/>
          <w:headerReference w:type="default" r:id="rId5"/>
          <w:footerReference w:type="even" r:id="rId6"/>
          <w:footerReference w:type="default" r:id="rId7"/>
          <w:pgSz w:w="16840" w:h="11900" w:orient="landscape"/>
          <w:pgMar w:top="1832" w:right="1416" w:bottom="2019" w:left="1377" w:header="1404" w:footer="3" w:gutter="0"/>
          <w:pgNumType w:fmt="numberInDash"/>
          <w:cols w:space="720"/>
          <w:rtlGutter/>
          <w:docGrid w:linePitch="360"/>
        </w:sectPr>
      </w:pP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3"/>
        <w:gridCol w:w="1130"/>
        <w:gridCol w:w="3643"/>
        <w:gridCol w:w="4722"/>
        <w:gridCol w:w="710"/>
        <w:gridCol w:w="2869"/>
      </w:tblGrid>
      <w:tr w:rsidR="00934F8B" w:rsidTr="006B3D81">
        <w:trPr>
          <w:trHeight w:val="152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lastRenderedPageBreak/>
              <w:t>1</w:t>
            </w: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40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社区停车秩序规范，管理到位，合理配建停车位及充电设施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规划停车位，规范停车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市规划自然资源委、市住房城乡建设委</w:t>
            </w:r>
          </w:p>
        </w:tc>
      </w:tr>
      <w:tr w:rsidR="00934F8B" w:rsidTr="006B3D81">
        <w:trPr>
          <w:trHeight w:val="117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19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制定停车管理规定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eastAsia="zh-TW" w:bidi="zh-TW"/>
              </w:rPr>
            </w:pPr>
          </w:p>
        </w:tc>
      </w:tr>
      <w:tr w:rsidR="00934F8B" w:rsidTr="006B3D81">
        <w:trPr>
          <w:trHeight w:val="164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20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配建充电桩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TW" w:bidi="zh-TW"/>
              </w:rPr>
              <w:t>市城市管理委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规范管线设置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根据实际进行水、电、气、热、通信光纤入户等线路管网和设施设备改造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各管线权属单位</w:t>
            </w:r>
          </w:p>
        </w:tc>
      </w:tr>
      <w:tr w:rsidR="00934F8B" w:rsidTr="006B3D81">
        <w:trPr>
          <w:trHeight w:val="270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对噪声扰民等问题进行了有效治理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设置禁止鸣笛、喧哗等告示牌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市公安局、市生态环境局、市</w:t>
            </w:r>
            <w:r>
              <w:rPr>
                <w:rFonts w:ascii="宋体" w:hAnsi="宋体" w:cs="宋体" w:hint="eastAsia"/>
                <w:sz w:val="20"/>
                <w:szCs w:val="20"/>
                <w:lang w:bidi="zh-TW"/>
              </w:rPr>
              <w:t>住房和城乡建设委</w:t>
            </w:r>
          </w:p>
        </w:tc>
      </w:tr>
      <w:tr w:rsidR="00934F8B" w:rsidTr="006B3D81">
        <w:trPr>
          <w:trHeight w:val="198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噪声热线投诉及时回复、办结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trHeight w:val="198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24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居委会、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业委会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、物管会组织物业服务单位等解决社区内电梯、水泵、变压器、供冷制冷、通风等公用设备设施噪声扰民问题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40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四）提高社区信息化智能化水平</w:t>
            </w: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配备智能化安防系统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主要出入口设有门禁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市公安局、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市规划自然资源委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6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设有安防监控系统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7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保证智能化安防系统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正常运行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智能化安防系统使用完好率达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9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0%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市公安局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、市住房城乡建设委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2</w:t>
            </w:r>
            <w:r>
              <w:rPr>
                <w:rFonts w:hint="eastAsia"/>
                <w:szCs w:val="22"/>
              </w:rPr>
              <w:t>8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鼓励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物业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“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TW"/>
              </w:rPr>
              <w:t>线上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+线下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”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多元服务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开展物业“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TW"/>
              </w:rPr>
              <w:t>线上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+线下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”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多元服务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住房城乡建设委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29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提高物业管理覆盖面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物业管理覆盖面达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0%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住房城乡建设委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30</w:t>
            </w:r>
          </w:p>
        </w:tc>
        <w:tc>
          <w:tcPr>
            <w:tcW w:w="409" w:type="pct"/>
            <w:vMerge w:val="restart"/>
            <w:vAlign w:val="center"/>
          </w:tcPr>
          <w:p w:rsidR="00934F8B" w:rsidRDefault="00934F8B" w:rsidP="006B3D81">
            <w:pPr>
              <w:spacing w:line="288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  <w:lang w:val="zh-TW" w:eastAsia="zh-TW" w:bidi="zh-TW"/>
              </w:rPr>
              <w:t>（五）培育社区绿色文化</w:t>
            </w: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社区有宣传场所和设施，能定期发布创建信息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社区宣传栏进行绿色社区创建活动宣传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市民政局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31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定期开展培训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、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val="zh-TW" w:eastAsia="zh-TW" w:bidi="zh-TW"/>
              </w:rPr>
              <w:t>生态环保知识普及和社会实践活动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制定培训计划、组织实施，并留存记录；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bidi="zh-TW"/>
              </w:rPr>
              <w:t>开展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“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bidi="zh-TW"/>
              </w:rPr>
              <w:t>小手拉大手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”活动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市民政局、市教委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发布社区居民绿色生活行动公约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张贴社区居民绿色生活行动公约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市民政局</w:t>
            </w:r>
          </w:p>
        </w:tc>
      </w:tr>
      <w:tr w:rsidR="00934F8B" w:rsidTr="006B3D81">
        <w:trPr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33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居民自主垃圾分类习惯养成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市民政局</w:t>
            </w:r>
          </w:p>
        </w:tc>
      </w:tr>
      <w:tr w:rsidR="00934F8B" w:rsidTr="006B3D81">
        <w:trPr>
          <w:trHeight w:val="484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4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文物古迹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历史建筑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bidi="zh-TW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  <w:t>古树名木得到有效保护</w:t>
            </w: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对社区内相关文物古迹、历史建筑、古树名木等历史文化资源进行登记，建立台账（如有）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 w:val="restar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市文物局、市规划自然资源委</w:t>
            </w:r>
          </w:p>
        </w:tc>
      </w:tr>
      <w:tr w:rsidR="00934F8B" w:rsidTr="006B3D81">
        <w:trPr>
          <w:trHeight w:val="237"/>
          <w:jc w:val="center"/>
        </w:trPr>
        <w:tc>
          <w:tcPr>
            <w:tcW w:w="265" w:type="pct"/>
            <w:vAlign w:val="center"/>
          </w:tcPr>
          <w:p w:rsidR="00934F8B" w:rsidRDefault="00934F8B" w:rsidP="006B3D81">
            <w:pPr>
              <w:jc w:val="center"/>
              <w:rPr>
                <w:rFonts w:hint="eastAsia"/>
                <w:szCs w:val="22"/>
              </w:rPr>
            </w:pPr>
            <w:r>
              <w:rPr>
                <w:szCs w:val="22"/>
              </w:rPr>
              <w:t>3</w:t>
            </w:r>
            <w:r>
              <w:rPr>
                <w:rFonts w:hint="eastAsia"/>
                <w:szCs w:val="22"/>
              </w:rPr>
              <w:t>5</w:t>
            </w:r>
          </w:p>
        </w:tc>
        <w:tc>
          <w:tcPr>
            <w:tcW w:w="40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319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val="zh-TW" w:eastAsia="zh-TW" w:bidi="zh-TW"/>
              </w:rPr>
            </w:pPr>
          </w:p>
        </w:tc>
        <w:tc>
          <w:tcPr>
            <w:tcW w:w="1708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>设有提示标语、护栏等（如有）</w:t>
            </w:r>
          </w:p>
        </w:tc>
        <w:tc>
          <w:tcPr>
            <w:tcW w:w="257" w:type="pct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</w:p>
        </w:tc>
        <w:tc>
          <w:tcPr>
            <w:tcW w:w="1038" w:type="pct"/>
            <w:vMerge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eastAsia="zh-TW" w:bidi="zh-TW"/>
              </w:rPr>
            </w:pPr>
          </w:p>
        </w:tc>
      </w:tr>
      <w:tr w:rsidR="00934F8B" w:rsidTr="006B3D81">
        <w:trPr>
          <w:jc w:val="center"/>
        </w:trPr>
        <w:tc>
          <w:tcPr>
            <w:tcW w:w="3703" w:type="pct"/>
            <w:gridSpan w:val="4"/>
            <w:vAlign w:val="center"/>
          </w:tcPr>
          <w:p w:rsidR="00934F8B" w:rsidRDefault="00934F8B" w:rsidP="006B3D81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 xml:space="preserve">                                                             达标总</w:t>
            </w:r>
            <w:r>
              <w:rPr>
                <w:color w:val="000000"/>
              </w:rPr>
              <w:t>项数</w:t>
            </w:r>
            <w:r>
              <w:rPr>
                <w:rFonts w:hint="eastAsia"/>
                <w:color w:val="000000"/>
              </w:rPr>
              <w:t>：（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）项</w:t>
            </w:r>
          </w:p>
        </w:tc>
        <w:tc>
          <w:tcPr>
            <w:tcW w:w="1296" w:type="pct"/>
            <w:gridSpan w:val="2"/>
          </w:tcPr>
          <w:p w:rsidR="00934F8B" w:rsidRDefault="00934F8B" w:rsidP="006B3D81">
            <w:pPr>
              <w:jc w:val="center"/>
              <w:rPr>
                <w:rFonts w:ascii="宋体" w:eastAsia="仿宋_GB2312" w:hAnsi="宋体" w:cs="宋体" w:hint="eastAsia"/>
                <w:color w:val="000000"/>
                <w:sz w:val="20"/>
                <w:szCs w:val="20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 xml:space="preserve">创建结果：  达标 </w:t>
            </w:r>
            <w:r>
              <w:rPr>
                <w:rFonts w:ascii="仿宋_GB2312" w:eastAsia="仿宋_GB2312" w:hAnsi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98120" cy="12255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225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TW"/>
              </w:rPr>
              <w:t xml:space="preserve">暂未达标 </w:t>
            </w:r>
            <w:r>
              <w:rPr>
                <w:rFonts w:ascii="仿宋_GB2312" w:eastAsia="仿宋_GB2312" w:hAnsi="宋体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198120" cy="12255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2255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8B" w:rsidRDefault="00934F8B" w:rsidP="00934F8B">
      <w:pPr>
        <w:pStyle w:val="Tablecaption1"/>
        <w:spacing w:beforeLines="50"/>
        <w:ind w:leftChars="190" w:left="3199" w:hangingChars="1400" w:hanging="2800"/>
        <w:jc w:val="left"/>
        <w:rPr>
          <w:rFonts w:hint="eastAsia"/>
          <w:color w:val="FF0000"/>
          <w:lang w:eastAsia="zh-CN"/>
        </w:rPr>
        <w:sectPr w:rsidR="00934F8B">
          <w:footerReference w:type="default" r:id="rId9"/>
          <w:pgSz w:w="16840" w:h="11900" w:orient="landscape"/>
          <w:pgMar w:top="1832" w:right="1416" w:bottom="2019" w:left="1377" w:header="1404" w:footer="3" w:gutter="0"/>
          <w:pgNumType w:fmt="numberInDash"/>
          <w:cols w:space="720"/>
          <w:rtlGutter/>
          <w:docGrid w:linePitch="360"/>
        </w:sectPr>
      </w:pPr>
      <w:r>
        <w:rPr>
          <w:rFonts w:hint="eastAsia"/>
          <w:color w:val="000000"/>
          <w:lang w:eastAsia="zh-CN"/>
        </w:rPr>
        <w:t>填表</w:t>
      </w:r>
      <w:r>
        <w:rPr>
          <w:color w:val="000000"/>
        </w:rPr>
        <w:t>规则</w:t>
      </w:r>
      <w:r>
        <w:rPr>
          <w:rFonts w:hint="eastAsia"/>
          <w:color w:val="000000"/>
          <w:lang w:eastAsia="zh-CN"/>
        </w:rPr>
        <w:t>及创建结果评判规则</w:t>
      </w:r>
      <w:r>
        <w:rPr>
          <w:color w:val="000000"/>
        </w:rPr>
        <w:t>：</w:t>
      </w:r>
      <w:r>
        <w:rPr>
          <w:rFonts w:hint="eastAsia"/>
          <w:color w:val="000000"/>
          <w:lang w:eastAsia="zh-CN"/>
        </w:rPr>
        <w:t>1.“是否达标”列当相应措施已完成时划“√”，当相应措施暂未完成时划“</w:t>
      </w:r>
      <w:r>
        <w:rPr>
          <w:rFonts w:hint="eastAsia"/>
          <w:color w:val="000000"/>
          <w:lang w:val="en-US" w:eastAsia="zh-CN"/>
        </w:rPr>
        <w:t>×</w:t>
      </w:r>
      <w:r>
        <w:rPr>
          <w:rFonts w:hint="eastAsia"/>
          <w:color w:val="000000"/>
          <w:lang w:eastAsia="zh-CN"/>
        </w:rPr>
        <w:t>”；2.</w:t>
      </w:r>
      <w:r>
        <w:rPr>
          <w:color w:val="000000"/>
        </w:rPr>
        <w:t>达标总项数达到</w:t>
      </w:r>
      <w:r>
        <w:rPr>
          <w:rFonts w:hint="eastAsia"/>
          <w:color w:val="000000"/>
          <w:lang w:val="en-US" w:eastAsia="zh-CN"/>
        </w:rPr>
        <w:t>21</w:t>
      </w:r>
      <w:r>
        <w:rPr>
          <w:rFonts w:hint="eastAsia"/>
          <w:color w:val="000000"/>
          <w:lang w:eastAsia="zh-CN"/>
        </w:rPr>
        <w:t>项，同时（一）至（五）项内容各自对应“相应措施”至少达标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  <w:lang w:eastAsia="zh-CN"/>
        </w:rPr>
        <w:t>项，则创建结果为达标；否则为</w:t>
      </w:r>
      <w:r>
        <w:rPr>
          <w:rFonts w:hint="eastAsia"/>
          <w:color w:val="000000"/>
        </w:rPr>
        <w:t>暂</w:t>
      </w:r>
      <w:r>
        <w:rPr>
          <w:rFonts w:hint="eastAsia"/>
          <w:color w:val="000000"/>
          <w:lang w:eastAsia="zh-CN"/>
        </w:rPr>
        <w:t>未达标。</w:t>
      </w:r>
    </w:p>
    <w:p w:rsidR="00100B1A" w:rsidRDefault="00100B1A">
      <w:pPr>
        <w:rPr>
          <w:lang w:eastAsia="zh-TW"/>
        </w:rPr>
      </w:pPr>
    </w:p>
    <w:sectPr w:rsidR="00100B1A" w:rsidSect="00934F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26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2049" type="#_x0000_t202" style="position:absolute;left:0;text-align:left;margin-left:109.15pt;margin-top:522.15pt;width:32.05pt;height:9.7pt;z-index:-251656192;mso-wrap-style:none;mso-position-horizontal-relative:page;mso-position-vertical-relative:page" o:gfxdata="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P5SbtLYAAAADQEAAA8AAAAAAAAAAQAgAAAAIgAAAGRy&#10;cy9kb3ducmV2LnhtbFBLAQIUABQAAAAIAIdO4kDTRakckwEAACMDAAAOAAAAAAAAAAEAIAAAACcB&#10;AABkcnMvZTJvRG9jLnhtbFBLBQYAAAAABgAGAFkBAAAsBQAAAAA=&#10;" filled="f" stroked="f">
          <v:textbox style="mso-fit-shape-to-text:t" inset="0,0,0,0">
            <w:txbxContent>
              <w:p w:rsidR="00000000" w:rsidRDefault="002926E2">
                <w:pPr>
                  <w:pStyle w:val="Headerorfooter1"/>
                  <w:jc w:val="left"/>
                </w:pPr>
                <w:r>
                  <w:rPr>
                    <w:rFonts w:eastAsia="Times New Roman"/>
                    <w:color w:val="000000"/>
                  </w:rPr>
                  <w:t>10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26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53" type="#_x0000_t202" style="position:absolute;left:0;text-align:left;margin-left:0;margin-top:0;width:2in;height:2in;z-index:251664384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000000" w:rsidRDefault="002926E2">
                <w:pPr>
                  <w:pStyle w:val="a3"/>
                  <w:rPr>
                    <w:rStyle w:val="a4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934F8B">
                  <w:rPr>
                    <w:rStyle w:val="a4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2926E2">
    <w:pPr>
      <w:pStyle w:val="a3"/>
      <w:ind w:right="360" w:firstLine="360"/>
      <w:rPr>
        <w:rFonts w:hint="eastAsia"/>
      </w:rPr>
    </w:pPr>
  </w:p>
  <w:p w:rsidR="00000000" w:rsidRDefault="002926E2">
    <w:pPr>
      <w:pStyle w:val="a3"/>
      <w:jc w:val="right"/>
      <w:rPr>
        <w:rStyle w:val="a4"/>
        <w:rFonts w:ascii="宋体" w:hAnsi="宋体" w:hint="eastAsia"/>
        <w:sz w:val="28"/>
        <w:szCs w:val="28"/>
      </w:rPr>
    </w:pPr>
  </w:p>
  <w:p w:rsidR="00000000" w:rsidRDefault="002926E2">
    <w:pPr>
      <w:pStyle w:val="2"/>
      <w:spacing w:after="0" w:line="240" w:lineRule="auto"/>
      <w:ind w:leftChars="0" w:left="0"/>
    </w:pPr>
  </w:p>
  <w:p w:rsidR="00000000" w:rsidRDefault="002926E2">
    <w:pPr>
      <w:pStyle w:val="2"/>
    </w:pPr>
  </w:p>
  <w:p w:rsidR="00000000" w:rsidRDefault="002926E2">
    <w:pPr>
      <w:spacing w:line="1" w:lineRule="exact"/>
    </w:pPr>
    <w:r>
      <w:pict>
        <v:shape id="文本框 7" o:spid="_x0000_s2052" type="#_x0000_t202" style="position:absolute;left:0;text-align:left;margin-left:0;margin-top:0;width:2in;height:2in;z-index:251663360;mso-wrap-style:none;mso-position-horizontal:left;mso-position-horizontal-relative:margin" filled="f" stroked="f">
          <v:fill o:detectmouseclick="t"/>
          <v:textbox style="mso-fit-shape-to-text:t" inset="0,0,0,0">
            <w:txbxContent>
              <w:p w:rsidR="00000000" w:rsidRDefault="002926E2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4F8B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Shape 25" o:spid="_x0000_s2050" type="#_x0000_t202" style="position:absolute;left:0;text-align:left;margin-left:439.75pt;margin-top:737.85pt;width:46.45pt;height:9.7pt;z-index:-251655168;mso-wrap-style:none;mso-position-horizontal-relative:page;mso-position-vertical-relative:page" o:gfxdata="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09pg9gAAAANAQAADwAAAAAAAAABACAAAAAiAAAAZHJzL2Rvd25yZXYueG1sUEsB&#10;AhQAFAAAAAgAh07iQJSdjx28AQAAlwMAAA4AAAAAAAAAAQAgAAAAJwEAAGRycy9lMm9Eb2MueG1s&#10;UEsFBgAAAAAGAAYAWQEAAFUFAAAAAA==&#10;" filled="f" stroked="f">
          <v:textbox style="mso-fit-shape-to-text:t" inset="0,0,0,0">
            <w:txbxContent>
              <w:p w:rsidR="00000000" w:rsidRDefault="002926E2">
                <w:pPr>
                  <w:pStyle w:val="Headerorfooter2"/>
                  <w:jc w:val="left"/>
                  <w:rPr>
                    <w:sz w:val="30"/>
                    <w:szCs w:val="30"/>
                  </w:rPr>
                </w:pPr>
                <w:r>
                  <w:rPr>
                    <w:rFonts w:eastAsia="Times New Roman"/>
                    <w:color w:val="000000"/>
                    <w:sz w:val="30"/>
                    <w:szCs w:val="3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26E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5" o:spid="_x0000_s2055" type="#_x0000_t202" style="position:absolute;left:0;text-align:left;margin-left:104pt;margin-top:0;width:2in;height:2in;z-index:251666432;mso-wrap-style:none;mso-position-horizontal:outside;mso-position-horizontal-relative:margin" filled="f" stroked="f">
          <v:textbox style="mso-fit-shape-to-text:t" inset="0,0,0,0">
            <w:txbxContent>
              <w:p w:rsidR="00000000" w:rsidRDefault="002926E2">
                <w:pPr>
                  <w:pStyle w:val="a3"/>
                  <w:rPr>
                    <w:rStyle w:val="a4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instrText xml:space="preserve"> PAGE  \* MERGEFOR</w:instrText>
                </w: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instrText xml:space="preserve">MAT </w:instrText>
                </w: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fldChar w:fldCharType="separate"/>
                </w:r>
                <w:r w:rsidR="00934F8B">
                  <w:rPr>
                    <w:rStyle w:val="a4"/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Style w:val="a4"/>
                    <w:rFonts w:ascii="宋体" w:hAnsi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2926E2">
    <w:pPr>
      <w:pStyle w:val="a3"/>
      <w:ind w:right="360" w:firstLine="360"/>
      <w:rPr>
        <w:rFonts w:hint="eastAsia"/>
      </w:rPr>
    </w:pPr>
  </w:p>
  <w:p w:rsidR="00000000" w:rsidRDefault="002926E2">
    <w:pPr>
      <w:pStyle w:val="a3"/>
      <w:jc w:val="right"/>
      <w:rPr>
        <w:rStyle w:val="a4"/>
        <w:rFonts w:ascii="宋体" w:hAnsi="宋体" w:hint="eastAsia"/>
        <w:sz w:val="28"/>
        <w:szCs w:val="28"/>
      </w:rPr>
    </w:pPr>
  </w:p>
  <w:p w:rsidR="00000000" w:rsidRDefault="002926E2">
    <w:pPr>
      <w:pStyle w:val="2"/>
      <w:spacing w:after="0" w:line="240" w:lineRule="auto"/>
      <w:ind w:leftChars="0" w:left="0"/>
    </w:pPr>
  </w:p>
  <w:p w:rsidR="00000000" w:rsidRDefault="002926E2">
    <w:pPr>
      <w:pStyle w:val="2"/>
    </w:pPr>
  </w:p>
  <w:p w:rsidR="00000000" w:rsidRDefault="002926E2">
    <w:pPr>
      <w:spacing w:line="1" w:lineRule="exact"/>
    </w:pPr>
    <w:r>
      <w:pict>
        <v:shape id="_x0000_s2054" type="#_x0000_t202" style="position:absolute;left:0;text-align:left;margin-left:104pt;margin-top:0;width:2in;height:2in;z-index:251665408;mso-wrap-style:none;mso-position-horizontal:outside;mso-position-horizontal-relative:margin" filled="f" stroked="f">
          <v:textbox style="mso-fit-shape-to-text:t" inset="0,0,0,0">
            <w:txbxContent>
              <w:p w:rsidR="00000000" w:rsidRDefault="002926E2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34F8B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2051" type="#_x0000_t202" style="position:absolute;left:0;text-align:left;margin-left:439.75pt;margin-top:737.85pt;width:46.45pt;height:9.7pt;z-index:-251654144;mso-wrap-style:none;mso-position-horizontal-relative:page;mso-position-vertical-relative:page" o:gfxdata="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09pg9gAAAANAQAADwAAAAAAAAABACAAAAAiAAAAZHJzL2Rvd25yZXYueG1sUEsB&#10;AhQAFAAAAAgAh07iQJSdjx28AQAAlwMAAA4AAAAAAAAAAQAgAAAAJwEAAGRycy9lMm9Eb2MueG1s&#10;UEsFBgAAAAAGAAYAWQEAAFUFAAAAAA==&#10;" filled="f" stroked="f">
          <v:textbox style="mso-fit-shape-to-text:t" inset="0,0,0,0">
            <w:txbxContent>
              <w:p w:rsidR="00000000" w:rsidRDefault="002926E2">
                <w:pPr>
                  <w:pStyle w:val="Headerorfooter2"/>
                  <w:jc w:val="left"/>
                  <w:rPr>
                    <w:sz w:val="30"/>
                    <w:szCs w:val="30"/>
                  </w:rPr>
                </w:pPr>
                <w:r>
                  <w:rPr>
                    <w:rFonts w:eastAsia="Times New Roman"/>
                    <w:color w:val="000000"/>
                    <w:sz w:val="30"/>
                    <w:szCs w:val="3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26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26E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34F8B"/>
    <w:rsid w:val="00100B1A"/>
    <w:rsid w:val="002926E2"/>
    <w:rsid w:val="00934F8B"/>
    <w:rsid w:val="00CF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34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934F8B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934F8B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qFormat/>
    <w:rsid w:val="00934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34F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qFormat/>
    <w:rsid w:val="00934F8B"/>
  </w:style>
  <w:style w:type="paragraph" w:customStyle="1" w:styleId="Tablecaption1">
    <w:name w:val="Table caption|1"/>
    <w:basedOn w:val="a"/>
    <w:qFormat/>
    <w:rsid w:val="00934F8B"/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Headerorfooter2">
    <w:name w:val="Header or footer|2"/>
    <w:basedOn w:val="a"/>
    <w:qFormat/>
    <w:rsid w:val="00934F8B"/>
    <w:rPr>
      <w:rFonts w:eastAsia="仿宋_GB2312"/>
      <w:sz w:val="20"/>
      <w:szCs w:val="20"/>
      <w:lang w:val="zh-TW" w:eastAsia="zh-TW" w:bidi="zh-TW"/>
    </w:rPr>
  </w:style>
  <w:style w:type="paragraph" w:customStyle="1" w:styleId="Headerorfooter1">
    <w:name w:val="Header or footer|1"/>
    <w:basedOn w:val="a"/>
    <w:qFormat/>
    <w:rsid w:val="00934F8B"/>
    <w:rPr>
      <w:rFonts w:eastAsia="仿宋_GB2312"/>
      <w:sz w:val="30"/>
      <w:szCs w:val="30"/>
      <w:lang w:val="zh-TW" w:eastAsia="zh-TW" w:bidi="zh-TW"/>
    </w:rPr>
  </w:style>
  <w:style w:type="paragraph" w:styleId="a5">
    <w:name w:val="Balloon Text"/>
    <w:basedOn w:val="a"/>
    <w:link w:val="Char0"/>
    <w:uiPriority w:val="99"/>
    <w:semiHidden/>
    <w:unhideWhenUsed/>
    <w:rsid w:val="00934F8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34F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周博</dc:creator>
  <cp:lastModifiedBy>周博</cp:lastModifiedBy>
  <cp:revision>1</cp:revision>
  <dcterms:created xsi:type="dcterms:W3CDTF">2021-10-15T07:46:00Z</dcterms:created>
  <dcterms:modified xsi:type="dcterms:W3CDTF">2021-10-15T07:47:00Z</dcterms:modified>
</cp:coreProperties>
</file>