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32" w:rsidRDefault="00512332" w:rsidP="009D0024">
      <w:pPr>
        <w:spacing w:beforeLines="50" w:line="480" w:lineRule="auto"/>
        <w:rPr>
          <w:rFonts w:eastAsia="黑体"/>
          <w:spacing w:val="10"/>
          <w:sz w:val="32"/>
          <w:szCs w:val="32"/>
        </w:rPr>
      </w:pPr>
      <w:bookmarkStart w:id="0" w:name="_Toc427495992"/>
      <w:bookmarkStart w:id="1" w:name="_Toc439011031"/>
      <w:bookmarkStart w:id="2" w:name="_Toc427495993"/>
      <w:bookmarkStart w:id="3" w:name="_Toc431905667"/>
      <w:bookmarkStart w:id="4" w:name="_Toc432494898"/>
      <w:bookmarkStart w:id="5" w:name="_Toc439076707"/>
      <w:bookmarkStart w:id="6" w:name="_Toc248809025"/>
      <w:bookmarkStart w:id="7" w:name="_Toc238112523"/>
      <w:bookmarkStart w:id="8" w:name="_Toc250383303"/>
      <w:bookmarkStart w:id="9" w:name="_GoBack"/>
      <w:bookmarkEnd w:id="9"/>
    </w:p>
    <w:p w:rsidR="00512332" w:rsidRDefault="00E80EF5" w:rsidP="009D0024">
      <w:pPr>
        <w:spacing w:beforeLines="50" w:line="480" w:lineRule="auto"/>
        <w:ind w:firstLine="680"/>
        <w:jc w:val="center"/>
        <w:rPr>
          <w:rFonts w:eastAsia="黑体"/>
          <w:spacing w:val="10"/>
          <w:sz w:val="32"/>
          <w:szCs w:val="32"/>
        </w:rPr>
      </w:pPr>
      <w:r>
        <w:rPr>
          <w:rFonts w:eastAsia="黑体"/>
          <w:spacing w:val="10"/>
          <w:sz w:val="32"/>
          <w:szCs w:val="32"/>
        </w:rPr>
        <w:t>宁波市工程建设地方细则</w:t>
      </w:r>
    </w:p>
    <w:p w:rsidR="00512332" w:rsidRDefault="00E80EF5">
      <w:pPr>
        <w:ind w:firstLine="600"/>
        <w:rPr>
          <w:b/>
        </w:rPr>
      </w:pPr>
      <w:r>
        <w:t xml:space="preserve">                                          </w:t>
      </w:r>
      <w:r>
        <w:rPr>
          <w:b/>
        </w:rPr>
        <w:t>201</w:t>
      </w:r>
      <w:r>
        <w:rPr>
          <w:rFonts w:hint="eastAsia"/>
          <w:b/>
        </w:rPr>
        <w:t>9</w:t>
      </w:r>
      <w:r>
        <w:rPr>
          <w:b/>
        </w:rPr>
        <w:t>甬</w:t>
      </w:r>
      <w:r>
        <w:rPr>
          <w:b/>
        </w:rPr>
        <w:t xml:space="preserve"> DX-XX</w:t>
      </w:r>
    </w:p>
    <w:p w:rsidR="00512332" w:rsidRDefault="00E80EF5">
      <w:pPr>
        <w:autoSpaceDE w:val="0"/>
        <w:autoSpaceDN w:val="0"/>
        <w:adjustRightInd w:val="0"/>
        <w:snapToGrid w:val="0"/>
        <w:spacing w:line="160" w:lineRule="atLeast"/>
        <w:ind w:leftChars="-465" w:left="-1395" w:rightChars="-465" w:right="-1395" w:firstLine="261"/>
        <w:rPr>
          <w:b/>
          <w:bCs/>
          <w:sz w:val="13"/>
          <w:u w:val="single"/>
        </w:rPr>
      </w:pPr>
      <w:r>
        <w:rPr>
          <w:b/>
          <w:bCs/>
          <w:sz w:val="13"/>
          <w:u w:val="single"/>
        </w:rPr>
        <w:t xml:space="preserve">                                                                                                                                                                                      </w:t>
      </w:r>
    </w:p>
    <w:p w:rsidR="00512332" w:rsidRDefault="00512332">
      <w:pPr>
        <w:ind w:firstLine="600"/>
      </w:pPr>
    </w:p>
    <w:p w:rsidR="00512332" w:rsidRDefault="00512332">
      <w:pPr>
        <w:ind w:firstLine="600"/>
      </w:pPr>
    </w:p>
    <w:p w:rsidR="00512332" w:rsidRDefault="00512332">
      <w:pPr>
        <w:ind w:firstLine="600"/>
      </w:pPr>
    </w:p>
    <w:p w:rsidR="00512332" w:rsidRDefault="00512332">
      <w:pPr>
        <w:ind w:firstLine="1040"/>
        <w:rPr>
          <w:sz w:val="52"/>
          <w:szCs w:val="52"/>
        </w:rPr>
      </w:pPr>
    </w:p>
    <w:p w:rsidR="00512332" w:rsidRDefault="00E80EF5">
      <w:pPr>
        <w:tabs>
          <w:tab w:val="left" w:pos="3540"/>
        </w:tabs>
        <w:spacing w:line="480" w:lineRule="auto"/>
        <w:ind w:firstLine="1044"/>
        <w:jc w:val="center"/>
        <w:rPr>
          <w:rFonts w:eastAsia="黑体"/>
          <w:b/>
          <w:sz w:val="52"/>
          <w:szCs w:val="52"/>
        </w:rPr>
      </w:pPr>
      <w:r>
        <w:rPr>
          <w:rFonts w:eastAsia="黑体" w:hint="eastAsia"/>
          <w:b/>
          <w:sz w:val="52"/>
          <w:szCs w:val="52"/>
        </w:rPr>
        <w:t>宁波市装配式建筑装配率与预制率计算细则</w:t>
      </w: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rPr>
          <w:sz w:val="44"/>
          <w:szCs w:val="44"/>
        </w:rPr>
      </w:pPr>
    </w:p>
    <w:p w:rsidR="00512332" w:rsidRDefault="00512332">
      <w:pPr>
        <w:tabs>
          <w:tab w:val="left" w:pos="3540"/>
        </w:tabs>
        <w:ind w:firstLine="880"/>
        <w:jc w:val="center"/>
        <w:rPr>
          <w:sz w:val="44"/>
          <w:szCs w:val="44"/>
        </w:rPr>
      </w:pPr>
    </w:p>
    <w:p w:rsidR="00512332" w:rsidRDefault="00512332">
      <w:pPr>
        <w:adjustRightInd w:val="0"/>
        <w:snapToGrid w:val="0"/>
        <w:spacing w:line="420" w:lineRule="exact"/>
        <w:ind w:firstLine="720"/>
        <w:jc w:val="center"/>
        <w:rPr>
          <w:rFonts w:eastAsia="文鼎大标宋简"/>
          <w:sz w:val="36"/>
        </w:rPr>
      </w:pPr>
    </w:p>
    <w:p w:rsidR="00512332" w:rsidRDefault="00E80EF5">
      <w:pPr>
        <w:adjustRightInd w:val="0"/>
        <w:snapToGrid w:val="0"/>
        <w:ind w:leftChars="-200" w:left="-600" w:rightChars="-200" w:right="-600" w:firstLineChars="200" w:firstLine="643"/>
        <w:jc w:val="left"/>
        <w:rPr>
          <w:rFonts w:eastAsia="黑体"/>
          <w:sz w:val="32"/>
          <w:szCs w:val="32"/>
        </w:rPr>
      </w:pPr>
      <w:r>
        <w:rPr>
          <w:rFonts w:eastAsia="黑体"/>
          <w:b/>
          <w:bCs/>
          <w:sz w:val="32"/>
          <w:szCs w:val="32"/>
        </w:rPr>
        <w:t>201</w:t>
      </w:r>
      <w:r>
        <w:rPr>
          <w:rFonts w:eastAsia="黑体" w:hint="eastAsia"/>
          <w:b/>
          <w:bCs/>
          <w:sz w:val="32"/>
          <w:szCs w:val="32"/>
        </w:rPr>
        <w:t>8</w:t>
      </w:r>
      <w:r>
        <w:rPr>
          <w:rFonts w:eastAsia="黑体"/>
          <w:b/>
          <w:bCs/>
          <w:sz w:val="32"/>
          <w:szCs w:val="32"/>
        </w:rPr>
        <w:t>－</w:t>
      </w:r>
      <w:r>
        <w:rPr>
          <w:rFonts w:eastAsia="黑体" w:hint="eastAsia"/>
          <w:b/>
          <w:bCs/>
          <w:sz w:val="32"/>
          <w:szCs w:val="32"/>
        </w:rPr>
        <w:t>12</w:t>
      </w:r>
      <w:r>
        <w:rPr>
          <w:rFonts w:eastAsia="黑体"/>
          <w:b/>
          <w:bCs/>
          <w:sz w:val="32"/>
          <w:szCs w:val="32"/>
        </w:rPr>
        <w:t>－</w:t>
      </w:r>
      <w:r>
        <w:rPr>
          <w:rFonts w:eastAsia="黑体" w:hint="eastAsia"/>
          <w:b/>
          <w:bCs/>
          <w:sz w:val="32"/>
          <w:szCs w:val="32"/>
        </w:rPr>
        <w:t>XX</w:t>
      </w:r>
      <w:r>
        <w:rPr>
          <w:rFonts w:eastAsia="黑体"/>
          <w:b/>
          <w:bCs/>
          <w:sz w:val="32"/>
          <w:szCs w:val="32"/>
        </w:rPr>
        <w:t xml:space="preserve"> </w:t>
      </w:r>
      <w:r>
        <w:rPr>
          <w:rFonts w:eastAsia="黑体"/>
          <w:sz w:val="32"/>
          <w:szCs w:val="32"/>
        </w:rPr>
        <w:t xml:space="preserve"> </w:t>
      </w:r>
      <w:r>
        <w:rPr>
          <w:rFonts w:eastAsia="黑体"/>
          <w:sz w:val="32"/>
          <w:szCs w:val="32"/>
        </w:rPr>
        <w:t>发布</w:t>
      </w:r>
      <w:r>
        <w:rPr>
          <w:rFonts w:eastAsia="黑体"/>
          <w:sz w:val="32"/>
          <w:szCs w:val="32"/>
        </w:rPr>
        <w:t xml:space="preserve">                      </w:t>
      </w:r>
      <w:r>
        <w:rPr>
          <w:rFonts w:eastAsia="黑体"/>
          <w:b/>
          <w:bCs/>
          <w:sz w:val="32"/>
          <w:szCs w:val="32"/>
        </w:rPr>
        <w:t>201</w:t>
      </w:r>
      <w:r>
        <w:rPr>
          <w:rFonts w:eastAsia="黑体" w:hint="eastAsia"/>
          <w:b/>
          <w:bCs/>
          <w:sz w:val="32"/>
          <w:szCs w:val="32"/>
        </w:rPr>
        <w:t>9</w:t>
      </w:r>
      <w:r>
        <w:rPr>
          <w:rFonts w:eastAsia="黑体"/>
          <w:b/>
          <w:bCs/>
          <w:sz w:val="32"/>
          <w:szCs w:val="32"/>
        </w:rPr>
        <w:t>－</w:t>
      </w:r>
      <w:r>
        <w:rPr>
          <w:rFonts w:eastAsia="黑体" w:hint="eastAsia"/>
          <w:b/>
          <w:bCs/>
          <w:sz w:val="32"/>
          <w:szCs w:val="32"/>
        </w:rPr>
        <w:t>01</w:t>
      </w:r>
      <w:r>
        <w:rPr>
          <w:rFonts w:eastAsia="黑体"/>
          <w:b/>
          <w:bCs/>
          <w:sz w:val="32"/>
          <w:szCs w:val="32"/>
        </w:rPr>
        <w:t>－</w:t>
      </w:r>
      <w:r>
        <w:rPr>
          <w:rFonts w:eastAsia="黑体"/>
          <w:b/>
          <w:bCs/>
          <w:sz w:val="32"/>
          <w:szCs w:val="32"/>
        </w:rPr>
        <w:t>01</w:t>
      </w:r>
      <w:r>
        <w:rPr>
          <w:rFonts w:eastAsia="黑体"/>
          <w:sz w:val="32"/>
          <w:szCs w:val="32"/>
        </w:rPr>
        <w:t xml:space="preserve">  </w:t>
      </w:r>
      <w:r>
        <w:rPr>
          <w:rFonts w:eastAsia="黑体"/>
          <w:sz w:val="32"/>
          <w:szCs w:val="32"/>
        </w:rPr>
        <w:t>实施</w:t>
      </w:r>
    </w:p>
    <w:p w:rsidR="00512332" w:rsidRDefault="00E80EF5">
      <w:pPr>
        <w:autoSpaceDE w:val="0"/>
        <w:autoSpaceDN w:val="0"/>
        <w:adjustRightInd w:val="0"/>
        <w:snapToGrid w:val="0"/>
        <w:spacing w:line="160" w:lineRule="atLeast"/>
        <w:ind w:leftChars="-465" w:left="-1395" w:rightChars="-465" w:right="-1395" w:firstLine="261"/>
        <w:rPr>
          <w:b/>
          <w:bCs/>
          <w:sz w:val="13"/>
          <w:u w:val="single"/>
        </w:rPr>
      </w:pPr>
      <w:r>
        <w:rPr>
          <w:b/>
          <w:bCs/>
          <w:sz w:val="13"/>
          <w:u w:val="single"/>
        </w:rPr>
        <w:t xml:space="preserve">                                                                                                                                                                                     </w:t>
      </w:r>
    </w:p>
    <w:p w:rsidR="00512332" w:rsidRDefault="00512332">
      <w:pPr>
        <w:tabs>
          <w:tab w:val="left" w:pos="3540"/>
        </w:tabs>
        <w:ind w:firstLine="643"/>
        <w:jc w:val="center"/>
        <w:rPr>
          <w:b/>
          <w:sz w:val="32"/>
          <w:szCs w:val="32"/>
        </w:rPr>
      </w:pPr>
    </w:p>
    <w:p w:rsidR="00512332" w:rsidRDefault="00E80EF5">
      <w:pPr>
        <w:tabs>
          <w:tab w:val="left" w:pos="3540"/>
        </w:tabs>
        <w:ind w:firstLine="643"/>
        <w:jc w:val="center"/>
        <w:rPr>
          <w:b/>
          <w:sz w:val="32"/>
          <w:szCs w:val="32"/>
        </w:rPr>
      </w:pPr>
      <w:r>
        <w:rPr>
          <w:b/>
          <w:sz w:val="32"/>
          <w:szCs w:val="32"/>
        </w:rPr>
        <w:t>宁波市住房和城乡建设委员会</w:t>
      </w:r>
      <w:r>
        <w:rPr>
          <w:b/>
          <w:sz w:val="32"/>
          <w:szCs w:val="32"/>
        </w:rPr>
        <w:t xml:space="preserve">         </w:t>
      </w:r>
      <w:r>
        <w:rPr>
          <w:b/>
          <w:sz w:val="32"/>
          <w:szCs w:val="32"/>
        </w:rPr>
        <w:t>发布</w:t>
      </w:r>
    </w:p>
    <w:p w:rsidR="00512332" w:rsidRDefault="00512332">
      <w:pPr>
        <w:tabs>
          <w:tab w:val="left" w:pos="3540"/>
        </w:tabs>
        <w:ind w:firstLine="643"/>
        <w:jc w:val="center"/>
        <w:rPr>
          <w:b/>
          <w:sz w:val="32"/>
          <w:szCs w:val="32"/>
        </w:rPr>
        <w:sectPr w:rsidR="00512332">
          <w:headerReference w:type="default" r:id="rId9"/>
          <w:footerReference w:type="first" r:id="rId10"/>
          <w:pgSz w:w="11906" w:h="16838"/>
          <w:pgMar w:top="1440" w:right="1474" w:bottom="1440" w:left="1474" w:header="851" w:footer="992" w:gutter="0"/>
          <w:cols w:space="425"/>
          <w:docGrid w:linePitch="408"/>
        </w:sectPr>
      </w:pPr>
    </w:p>
    <w:p w:rsidR="00512332" w:rsidRDefault="00512332" w:rsidP="009D0024">
      <w:pPr>
        <w:spacing w:beforeLines="50" w:line="480" w:lineRule="auto"/>
        <w:ind w:firstLine="680"/>
        <w:jc w:val="center"/>
        <w:rPr>
          <w:rFonts w:eastAsia="黑体"/>
          <w:spacing w:val="10"/>
          <w:sz w:val="32"/>
          <w:szCs w:val="32"/>
        </w:rPr>
      </w:pPr>
    </w:p>
    <w:p w:rsidR="00512332" w:rsidRDefault="00E80EF5" w:rsidP="009D0024">
      <w:pPr>
        <w:spacing w:beforeLines="50" w:line="480" w:lineRule="auto"/>
        <w:ind w:firstLine="680"/>
        <w:jc w:val="center"/>
        <w:rPr>
          <w:rFonts w:eastAsia="黑体"/>
          <w:spacing w:val="10"/>
          <w:sz w:val="32"/>
          <w:szCs w:val="32"/>
        </w:rPr>
      </w:pPr>
      <w:r>
        <w:rPr>
          <w:rFonts w:eastAsia="黑体"/>
          <w:spacing w:val="10"/>
          <w:sz w:val="32"/>
          <w:szCs w:val="32"/>
        </w:rPr>
        <w:t>宁波市工程建设地方细则</w:t>
      </w:r>
    </w:p>
    <w:p w:rsidR="00512332" w:rsidRDefault="00E80EF5">
      <w:pPr>
        <w:ind w:firstLine="600"/>
      </w:pPr>
      <w:r>
        <w:t xml:space="preserve">                                               </w:t>
      </w:r>
    </w:p>
    <w:p w:rsidR="00512332" w:rsidRDefault="00512332">
      <w:pPr>
        <w:ind w:firstLine="600"/>
      </w:pPr>
    </w:p>
    <w:p w:rsidR="00512332" w:rsidRDefault="00E80EF5">
      <w:pPr>
        <w:widowControl/>
        <w:spacing w:line="240" w:lineRule="auto"/>
        <w:ind w:firstLine="885"/>
        <w:jc w:val="center"/>
        <w:rPr>
          <w:b/>
          <w:sz w:val="44"/>
          <w:szCs w:val="44"/>
        </w:rPr>
      </w:pPr>
      <w:r>
        <w:rPr>
          <w:rFonts w:hint="eastAsia"/>
          <w:b/>
          <w:sz w:val="44"/>
          <w:szCs w:val="44"/>
        </w:rPr>
        <w:t>宁波市装配式建筑装配率与预制率</w:t>
      </w:r>
    </w:p>
    <w:p w:rsidR="00512332" w:rsidRDefault="00E80EF5">
      <w:pPr>
        <w:widowControl/>
        <w:spacing w:line="240" w:lineRule="auto"/>
        <w:ind w:firstLine="885"/>
        <w:jc w:val="center"/>
        <w:rPr>
          <w:b/>
          <w:sz w:val="44"/>
          <w:szCs w:val="44"/>
        </w:rPr>
      </w:pPr>
      <w:r>
        <w:rPr>
          <w:rFonts w:hint="eastAsia"/>
          <w:b/>
          <w:sz w:val="44"/>
          <w:szCs w:val="44"/>
        </w:rPr>
        <w:t>计算细则</w:t>
      </w:r>
    </w:p>
    <w:p w:rsidR="00512332" w:rsidRDefault="00512332">
      <w:pPr>
        <w:tabs>
          <w:tab w:val="left" w:pos="3540"/>
        </w:tabs>
        <w:spacing w:line="720" w:lineRule="auto"/>
        <w:ind w:firstLine="883"/>
        <w:jc w:val="center"/>
        <w:rPr>
          <w:b/>
          <w:sz w:val="44"/>
          <w:szCs w:val="44"/>
        </w:rPr>
      </w:pPr>
    </w:p>
    <w:p w:rsidR="00512332" w:rsidRDefault="00E80EF5">
      <w:pPr>
        <w:ind w:firstLine="602"/>
        <w:jc w:val="center"/>
        <w:rPr>
          <w:b/>
        </w:rPr>
      </w:pPr>
      <w:r>
        <w:rPr>
          <w:b/>
        </w:rPr>
        <w:t>201</w:t>
      </w:r>
      <w:r>
        <w:rPr>
          <w:rFonts w:hint="eastAsia"/>
          <w:b/>
        </w:rPr>
        <w:t>9</w:t>
      </w:r>
      <w:r>
        <w:rPr>
          <w:b/>
        </w:rPr>
        <w:t>甬</w:t>
      </w:r>
      <w:r>
        <w:rPr>
          <w:b/>
        </w:rPr>
        <w:t xml:space="preserve"> DX-XX</w:t>
      </w:r>
    </w:p>
    <w:p w:rsidR="00512332" w:rsidRDefault="00512332">
      <w:pPr>
        <w:tabs>
          <w:tab w:val="left" w:pos="3540"/>
        </w:tabs>
        <w:ind w:firstLine="880"/>
        <w:jc w:val="center"/>
        <w:rPr>
          <w:sz w:val="44"/>
          <w:szCs w:val="44"/>
        </w:rPr>
      </w:pPr>
    </w:p>
    <w:p w:rsidR="00512332" w:rsidRDefault="00512332">
      <w:pPr>
        <w:tabs>
          <w:tab w:val="left" w:pos="3540"/>
        </w:tabs>
        <w:ind w:firstLine="880"/>
        <w:jc w:val="center"/>
        <w:rPr>
          <w:sz w:val="44"/>
          <w:szCs w:val="44"/>
        </w:rPr>
      </w:pPr>
    </w:p>
    <w:p w:rsidR="00512332" w:rsidRDefault="00512332">
      <w:pPr>
        <w:tabs>
          <w:tab w:val="left" w:pos="3540"/>
        </w:tabs>
        <w:ind w:firstLine="880"/>
        <w:rPr>
          <w:sz w:val="44"/>
          <w:szCs w:val="44"/>
        </w:rPr>
      </w:pPr>
    </w:p>
    <w:tbl>
      <w:tblPr>
        <w:tblW w:w="8713" w:type="dxa"/>
        <w:jc w:val="center"/>
        <w:tblLayout w:type="fixed"/>
        <w:tblLook w:val="04A0"/>
      </w:tblPr>
      <w:tblGrid>
        <w:gridCol w:w="2334"/>
        <w:gridCol w:w="6379"/>
      </w:tblGrid>
      <w:tr w:rsidR="00512332">
        <w:trPr>
          <w:jc w:val="center"/>
        </w:trPr>
        <w:tc>
          <w:tcPr>
            <w:tcW w:w="2334" w:type="dxa"/>
            <w:shd w:val="clear" w:color="auto" w:fill="auto"/>
            <w:vAlign w:val="center"/>
          </w:tcPr>
          <w:p w:rsidR="00512332" w:rsidRDefault="00E80EF5">
            <w:pPr>
              <w:adjustRightInd w:val="0"/>
              <w:snapToGrid w:val="0"/>
              <w:spacing w:line="500" w:lineRule="exact"/>
              <w:ind w:firstLine="600"/>
              <w:jc w:val="center"/>
              <w:rPr>
                <w:color w:val="FF0000"/>
                <w:szCs w:val="30"/>
              </w:rPr>
            </w:pPr>
            <w:r>
              <w:rPr>
                <w:color w:val="000000"/>
              </w:rPr>
              <w:t>主编单位：</w:t>
            </w:r>
          </w:p>
        </w:tc>
        <w:tc>
          <w:tcPr>
            <w:tcW w:w="6379" w:type="dxa"/>
            <w:shd w:val="clear" w:color="auto" w:fill="auto"/>
            <w:vAlign w:val="center"/>
          </w:tcPr>
          <w:p w:rsidR="00512332" w:rsidRDefault="00E80EF5">
            <w:pPr>
              <w:adjustRightInd w:val="0"/>
              <w:snapToGrid w:val="0"/>
              <w:spacing w:line="500" w:lineRule="exact"/>
              <w:jc w:val="left"/>
              <w:rPr>
                <w:color w:val="000000" w:themeColor="text1"/>
                <w:szCs w:val="30"/>
              </w:rPr>
            </w:pPr>
            <w:r>
              <w:rPr>
                <w:rFonts w:hint="eastAsia"/>
                <w:color w:val="000000" w:themeColor="text1"/>
                <w:szCs w:val="30"/>
              </w:rPr>
              <w:t>宁波工程学院</w:t>
            </w:r>
          </w:p>
        </w:tc>
      </w:tr>
      <w:tr w:rsidR="00512332">
        <w:trPr>
          <w:jc w:val="center"/>
        </w:trPr>
        <w:tc>
          <w:tcPr>
            <w:tcW w:w="2334" w:type="dxa"/>
            <w:shd w:val="clear" w:color="auto" w:fill="auto"/>
            <w:vAlign w:val="center"/>
          </w:tcPr>
          <w:p w:rsidR="00512332" w:rsidRDefault="00512332">
            <w:pPr>
              <w:adjustRightInd w:val="0"/>
              <w:snapToGrid w:val="0"/>
              <w:spacing w:line="500" w:lineRule="exact"/>
              <w:ind w:firstLine="600"/>
              <w:jc w:val="center"/>
              <w:rPr>
                <w:color w:val="000000"/>
              </w:rPr>
            </w:pPr>
          </w:p>
        </w:tc>
        <w:tc>
          <w:tcPr>
            <w:tcW w:w="6379" w:type="dxa"/>
            <w:shd w:val="clear" w:color="auto" w:fill="auto"/>
            <w:vAlign w:val="center"/>
          </w:tcPr>
          <w:p w:rsidR="00512332" w:rsidRDefault="00E80EF5">
            <w:pPr>
              <w:adjustRightInd w:val="0"/>
              <w:snapToGrid w:val="0"/>
              <w:spacing w:line="500" w:lineRule="exact"/>
              <w:jc w:val="left"/>
              <w:rPr>
                <w:color w:val="000000"/>
              </w:rPr>
            </w:pPr>
            <w:r>
              <w:rPr>
                <w:color w:val="000000"/>
              </w:rPr>
              <w:t>宁波市房屋建筑设计研究院有限公司</w:t>
            </w:r>
          </w:p>
        </w:tc>
      </w:tr>
      <w:tr w:rsidR="00512332">
        <w:trPr>
          <w:jc w:val="center"/>
        </w:trPr>
        <w:tc>
          <w:tcPr>
            <w:tcW w:w="2334" w:type="dxa"/>
            <w:shd w:val="clear" w:color="auto" w:fill="auto"/>
            <w:vAlign w:val="center"/>
          </w:tcPr>
          <w:p w:rsidR="00512332" w:rsidRDefault="00512332">
            <w:pPr>
              <w:adjustRightInd w:val="0"/>
              <w:snapToGrid w:val="0"/>
              <w:spacing w:line="500" w:lineRule="exact"/>
              <w:ind w:firstLine="600"/>
              <w:jc w:val="center"/>
              <w:rPr>
                <w:color w:val="000000"/>
              </w:rPr>
            </w:pPr>
          </w:p>
        </w:tc>
        <w:tc>
          <w:tcPr>
            <w:tcW w:w="6379" w:type="dxa"/>
            <w:shd w:val="clear" w:color="auto" w:fill="auto"/>
            <w:vAlign w:val="center"/>
          </w:tcPr>
          <w:p w:rsidR="00512332" w:rsidRDefault="00E80EF5">
            <w:pPr>
              <w:adjustRightInd w:val="0"/>
              <w:snapToGrid w:val="0"/>
              <w:spacing w:line="500" w:lineRule="exact"/>
              <w:jc w:val="left"/>
              <w:rPr>
                <w:color w:val="000000"/>
              </w:rPr>
            </w:pPr>
            <w:r>
              <w:rPr>
                <w:rFonts w:hint="eastAsia"/>
                <w:color w:val="000000"/>
              </w:rPr>
              <w:t>国家土建结构预制装配化工程中心宁波分中心</w:t>
            </w:r>
          </w:p>
        </w:tc>
      </w:tr>
      <w:tr w:rsidR="00512332">
        <w:trPr>
          <w:jc w:val="center"/>
        </w:trPr>
        <w:tc>
          <w:tcPr>
            <w:tcW w:w="2334" w:type="dxa"/>
            <w:shd w:val="clear" w:color="auto" w:fill="auto"/>
            <w:vAlign w:val="center"/>
          </w:tcPr>
          <w:p w:rsidR="00512332" w:rsidRDefault="00512332">
            <w:pPr>
              <w:adjustRightInd w:val="0"/>
              <w:snapToGrid w:val="0"/>
              <w:spacing w:line="500" w:lineRule="exact"/>
              <w:ind w:firstLine="600"/>
              <w:jc w:val="center"/>
              <w:rPr>
                <w:color w:val="000000"/>
              </w:rPr>
            </w:pPr>
          </w:p>
        </w:tc>
        <w:tc>
          <w:tcPr>
            <w:tcW w:w="6379" w:type="dxa"/>
            <w:shd w:val="clear" w:color="auto" w:fill="auto"/>
            <w:vAlign w:val="center"/>
          </w:tcPr>
          <w:p w:rsidR="00512332" w:rsidRDefault="00E80EF5">
            <w:pPr>
              <w:adjustRightInd w:val="0"/>
              <w:snapToGrid w:val="0"/>
              <w:spacing w:line="500" w:lineRule="exact"/>
              <w:jc w:val="left"/>
              <w:rPr>
                <w:color w:val="000000"/>
              </w:rPr>
            </w:pPr>
            <w:r>
              <w:rPr>
                <w:color w:val="000000"/>
              </w:rPr>
              <w:t>华聪建筑节能科技有限公司</w:t>
            </w:r>
          </w:p>
        </w:tc>
      </w:tr>
      <w:tr w:rsidR="00512332">
        <w:trPr>
          <w:jc w:val="center"/>
        </w:trPr>
        <w:tc>
          <w:tcPr>
            <w:tcW w:w="2334" w:type="dxa"/>
            <w:shd w:val="clear" w:color="auto" w:fill="auto"/>
            <w:vAlign w:val="center"/>
          </w:tcPr>
          <w:p w:rsidR="00512332" w:rsidRDefault="00E80EF5">
            <w:pPr>
              <w:adjustRightInd w:val="0"/>
              <w:snapToGrid w:val="0"/>
              <w:spacing w:line="500" w:lineRule="exact"/>
              <w:ind w:firstLine="600"/>
              <w:jc w:val="center"/>
              <w:rPr>
                <w:color w:val="000000"/>
              </w:rPr>
            </w:pPr>
            <w:r>
              <w:rPr>
                <w:color w:val="000000"/>
              </w:rPr>
              <w:t>参编单位：</w:t>
            </w:r>
          </w:p>
        </w:tc>
        <w:tc>
          <w:tcPr>
            <w:tcW w:w="6379" w:type="dxa"/>
            <w:shd w:val="clear" w:color="auto" w:fill="auto"/>
            <w:vAlign w:val="center"/>
          </w:tcPr>
          <w:p w:rsidR="00512332" w:rsidRDefault="00E80EF5">
            <w:r>
              <w:rPr>
                <w:rFonts w:hint="eastAsia"/>
              </w:rPr>
              <w:t>宁波市建筑设计研究院有限公司</w:t>
            </w:r>
          </w:p>
        </w:tc>
      </w:tr>
      <w:tr w:rsidR="00512332">
        <w:trPr>
          <w:jc w:val="center"/>
        </w:trPr>
        <w:tc>
          <w:tcPr>
            <w:tcW w:w="2334" w:type="dxa"/>
            <w:shd w:val="clear" w:color="auto" w:fill="auto"/>
            <w:vAlign w:val="center"/>
          </w:tcPr>
          <w:p w:rsidR="00512332" w:rsidRDefault="00512332">
            <w:pPr>
              <w:adjustRightInd w:val="0"/>
              <w:snapToGrid w:val="0"/>
              <w:spacing w:line="500" w:lineRule="exact"/>
              <w:ind w:firstLine="600"/>
              <w:jc w:val="center"/>
              <w:rPr>
                <w:color w:val="000000"/>
              </w:rPr>
            </w:pPr>
          </w:p>
        </w:tc>
        <w:tc>
          <w:tcPr>
            <w:tcW w:w="6379" w:type="dxa"/>
            <w:shd w:val="clear" w:color="auto" w:fill="auto"/>
            <w:vAlign w:val="center"/>
          </w:tcPr>
          <w:p w:rsidR="00512332" w:rsidRDefault="00E80EF5">
            <w:r>
              <w:rPr>
                <w:rFonts w:hint="eastAsia"/>
              </w:rPr>
              <w:t>宁波普利凯建筑科技有限公司</w:t>
            </w:r>
          </w:p>
        </w:tc>
      </w:tr>
      <w:tr w:rsidR="00512332">
        <w:trPr>
          <w:jc w:val="center"/>
        </w:trPr>
        <w:tc>
          <w:tcPr>
            <w:tcW w:w="2334" w:type="dxa"/>
            <w:shd w:val="clear" w:color="auto" w:fill="auto"/>
            <w:vAlign w:val="center"/>
          </w:tcPr>
          <w:p w:rsidR="00512332" w:rsidRDefault="00512332">
            <w:pPr>
              <w:adjustRightInd w:val="0"/>
              <w:snapToGrid w:val="0"/>
              <w:spacing w:line="500" w:lineRule="exact"/>
              <w:ind w:firstLine="600"/>
              <w:jc w:val="center"/>
              <w:rPr>
                <w:color w:val="000000"/>
              </w:rPr>
            </w:pPr>
          </w:p>
        </w:tc>
        <w:tc>
          <w:tcPr>
            <w:tcW w:w="6379" w:type="dxa"/>
            <w:shd w:val="clear" w:color="auto" w:fill="auto"/>
            <w:vAlign w:val="center"/>
          </w:tcPr>
          <w:p w:rsidR="00512332" w:rsidRDefault="00E80EF5">
            <w:r>
              <w:rPr>
                <w:rFonts w:hint="eastAsia"/>
              </w:rPr>
              <w:t>宁波市建筑工程安全质量监督总站</w:t>
            </w:r>
          </w:p>
        </w:tc>
      </w:tr>
      <w:tr w:rsidR="00512332">
        <w:trPr>
          <w:jc w:val="center"/>
        </w:trPr>
        <w:tc>
          <w:tcPr>
            <w:tcW w:w="2334" w:type="dxa"/>
            <w:shd w:val="clear" w:color="auto" w:fill="auto"/>
            <w:vAlign w:val="center"/>
          </w:tcPr>
          <w:p w:rsidR="00512332" w:rsidRDefault="00512332">
            <w:pPr>
              <w:adjustRightInd w:val="0"/>
              <w:snapToGrid w:val="0"/>
              <w:spacing w:line="500" w:lineRule="exact"/>
              <w:ind w:firstLine="600"/>
              <w:jc w:val="center"/>
              <w:rPr>
                <w:color w:val="000000"/>
              </w:rPr>
            </w:pPr>
          </w:p>
        </w:tc>
        <w:tc>
          <w:tcPr>
            <w:tcW w:w="6379" w:type="dxa"/>
            <w:shd w:val="clear" w:color="auto" w:fill="auto"/>
            <w:vAlign w:val="center"/>
          </w:tcPr>
          <w:p w:rsidR="00512332" w:rsidRDefault="00E80EF5">
            <w:r>
              <w:rPr>
                <w:rFonts w:hint="eastAsia"/>
              </w:rPr>
              <w:t>宁波中淳高科桩业股份有限公司</w:t>
            </w:r>
          </w:p>
          <w:p w:rsidR="00512332" w:rsidRDefault="00512332"/>
        </w:tc>
      </w:tr>
      <w:tr w:rsidR="00512332">
        <w:trPr>
          <w:jc w:val="center"/>
        </w:trPr>
        <w:tc>
          <w:tcPr>
            <w:tcW w:w="2334" w:type="dxa"/>
            <w:shd w:val="clear" w:color="auto" w:fill="auto"/>
            <w:vAlign w:val="center"/>
          </w:tcPr>
          <w:p w:rsidR="00512332" w:rsidRDefault="00E80EF5">
            <w:pPr>
              <w:adjustRightInd w:val="0"/>
              <w:snapToGrid w:val="0"/>
              <w:spacing w:line="500" w:lineRule="exact"/>
              <w:ind w:firstLine="600"/>
              <w:jc w:val="center"/>
              <w:rPr>
                <w:color w:val="000000"/>
              </w:rPr>
            </w:pPr>
            <w:r>
              <w:rPr>
                <w:color w:val="000000"/>
              </w:rPr>
              <w:t>批准部门：</w:t>
            </w:r>
          </w:p>
        </w:tc>
        <w:tc>
          <w:tcPr>
            <w:tcW w:w="6379" w:type="dxa"/>
            <w:shd w:val="clear" w:color="auto" w:fill="auto"/>
            <w:vAlign w:val="center"/>
          </w:tcPr>
          <w:p w:rsidR="00512332" w:rsidRDefault="00E80EF5">
            <w:pPr>
              <w:adjustRightInd w:val="0"/>
              <w:snapToGrid w:val="0"/>
              <w:spacing w:line="500" w:lineRule="exact"/>
              <w:ind w:firstLine="600"/>
              <w:jc w:val="left"/>
              <w:rPr>
                <w:color w:val="000000"/>
              </w:rPr>
            </w:pPr>
            <w:r>
              <w:rPr>
                <w:color w:val="000000"/>
              </w:rPr>
              <w:t>宁波市住房和城乡建设委员会</w:t>
            </w:r>
          </w:p>
        </w:tc>
      </w:tr>
      <w:tr w:rsidR="00512332">
        <w:trPr>
          <w:jc w:val="center"/>
        </w:trPr>
        <w:tc>
          <w:tcPr>
            <w:tcW w:w="2334" w:type="dxa"/>
            <w:shd w:val="clear" w:color="auto" w:fill="auto"/>
            <w:vAlign w:val="center"/>
          </w:tcPr>
          <w:p w:rsidR="00512332" w:rsidRDefault="00E80EF5">
            <w:pPr>
              <w:adjustRightInd w:val="0"/>
              <w:snapToGrid w:val="0"/>
              <w:spacing w:line="500" w:lineRule="exact"/>
              <w:ind w:firstLine="600"/>
              <w:jc w:val="center"/>
              <w:rPr>
                <w:color w:val="000000"/>
              </w:rPr>
            </w:pPr>
            <w:r>
              <w:rPr>
                <w:color w:val="000000"/>
              </w:rPr>
              <w:t>实施日期：</w:t>
            </w:r>
          </w:p>
        </w:tc>
        <w:tc>
          <w:tcPr>
            <w:tcW w:w="6379" w:type="dxa"/>
            <w:shd w:val="clear" w:color="auto" w:fill="auto"/>
            <w:vAlign w:val="center"/>
          </w:tcPr>
          <w:p w:rsidR="00512332" w:rsidRDefault="00E80EF5">
            <w:pPr>
              <w:adjustRightInd w:val="0"/>
              <w:snapToGrid w:val="0"/>
              <w:spacing w:line="500" w:lineRule="exact"/>
              <w:ind w:firstLine="600"/>
              <w:jc w:val="left"/>
              <w:rPr>
                <w:color w:val="000000"/>
              </w:rPr>
            </w:pPr>
            <w:r>
              <w:rPr>
                <w:color w:val="000000"/>
              </w:rPr>
              <w:t>201</w:t>
            </w:r>
            <w:r>
              <w:rPr>
                <w:rFonts w:hint="eastAsia"/>
                <w:color w:val="000000"/>
              </w:rPr>
              <w:t>9</w:t>
            </w:r>
            <w:r>
              <w:rPr>
                <w:color w:val="000000"/>
              </w:rPr>
              <w:t>年</w:t>
            </w:r>
            <w:r>
              <w:rPr>
                <w:color w:val="000000"/>
              </w:rPr>
              <w:t>1</w:t>
            </w:r>
            <w:r>
              <w:rPr>
                <w:color w:val="000000"/>
              </w:rPr>
              <w:t>月</w:t>
            </w:r>
            <w:r>
              <w:rPr>
                <w:color w:val="000000"/>
              </w:rPr>
              <w:t>1</w:t>
            </w:r>
            <w:r>
              <w:rPr>
                <w:color w:val="000000"/>
              </w:rPr>
              <w:t>日</w:t>
            </w:r>
          </w:p>
        </w:tc>
      </w:tr>
    </w:tbl>
    <w:p w:rsidR="00512332" w:rsidRDefault="00512332">
      <w:pPr>
        <w:spacing w:line="680" w:lineRule="exact"/>
        <w:ind w:firstLine="600"/>
      </w:pPr>
      <w:bookmarkStart w:id="10" w:name="_Toc431905665"/>
      <w:bookmarkStart w:id="11" w:name="_Toc429938784"/>
      <w:bookmarkStart w:id="12" w:name="_Toc432494897"/>
      <w:bookmarkStart w:id="13" w:name="_Toc451258332"/>
      <w:bookmarkEnd w:id="0"/>
    </w:p>
    <w:p w:rsidR="00512332" w:rsidRDefault="00512332">
      <w:pPr>
        <w:spacing w:line="480" w:lineRule="exact"/>
        <w:rPr>
          <w:rFonts w:eastAsia="仿宋_GB2312"/>
          <w:sz w:val="32"/>
          <w:szCs w:val="32"/>
        </w:rPr>
      </w:pPr>
    </w:p>
    <w:p w:rsidR="00512332" w:rsidRDefault="00512332">
      <w:pPr>
        <w:tabs>
          <w:tab w:val="left" w:pos="1470"/>
          <w:tab w:val="center" w:pos="4479"/>
        </w:tabs>
        <w:spacing w:before="260" w:after="600" w:line="600" w:lineRule="exact"/>
        <w:ind w:firstLine="720"/>
        <w:jc w:val="left"/>
        <w:rPr>
          <w:sz w:val="36"/>
          <w:szCs w:val="36"/>
        </w:rPr>
        <w:sectPr w:rsidR="00512332">
          <w:headerReference w:type="default" r:id="rId11"/>
          <w:footerReference w:type="default" r:id="rId12"/>
          <w:pgSz w:w="11907" w:h="16839"/>
          <w:pgMar w:top="1440" w:right="1474" w:bottom="1440" w:left="1474" w:header="851" w:footer="992" w:gutter="0"/>
          <w:pgNumType w:start="1"/>
          <w:cols w:space="425"/>
          <w:docGrid w:linePitch="408"/>
        </w:sectPr>
      </w:pPr>
    </w:p>
    <w:p w:rsidR="00512332" w:rsidRDefault="00E80EF5">
      <w:pPr>
        <w:spacing w:before="260" w:after="600" w:line="600" w:lineRule="exact"/>
        <w:ind w:firstLine="723"/>
        <w:jc w:val="center"/>
        <w:rPr>
          <w:b/>
          <w:sz w:val="36"/>
          <w:szCs w:val="36"/>
        </w:rPr>
      </w:pPr>
      <w:r>
        <w:rPr>
          <w:b/>
          <w:sz w:val="36"/>
          <w:szCs w:val="36"/>
        </w:rPr>
        <w:lastRenderedPageBreak/>
        <w:t>前</w:t>
      </w:r>
      <w:r>
        <w:rPr>
          <w:b/>
          <w:sz w:val="36"/>
          <w:szCs w:val="36"/>
        </w:rPr>
        <w:t xml:space="preserve">   </w:t>
      </w:r>
      <w:r>
        <w:rPr>
          <w:b/>
          <w:sz w:val="36"/>
          <w:szCs w:val="36"/>
        </w:rPr>
        <w:t>言</w:t>
      </w:r>
    </w:p>
    <w:bookmarkEnd w:id="10"/>
    <w:bookmarkEnd w:id="11"/>
    <w:bookmarkEnd w:id="12"/>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根据《宁波市人民政府办公厅关于推进新型建筑工业化项目建设的实施意见》（甬政办发〔</w:t>
      </w:r>
      <w:r>
        <w:rPr>
          <w:rFonts w:hint="eastAsia"/>
          <w:color w:val="000000"/>
          <w:szCs w:val="30"/>
        </w:rPr>
        <w:t>2016</w:t>
      </w:r>
      <w:r>
        <w:rPr>
          <w:rFonts w:hint="eastAsia"/>
          <w:color w:val="000000"/>
          <w:szCs w:val="30"/>
        </w:rPr>
        <w:t>〕</w:t>
      </w:r>
      <w:r>
        <w:rPr>
          <w:rFonts w:hint="eastAsia"/>
          <w:color w:val="000000"/>
          <w:szCs w:val="30"/>
        </w:rPr>
        <w:t xml:space="preserve">7 </w:t>
      </w:r>
      <w:r>
        <w:rPr>
          <w:rFonts w:hint="eastAsia"/>
          <w:color w:val="000000"/>
          <w:szCs w:val="30"/>
        </w:rPr>
        <w:t>号）、《宁波市人民政府办公厅关于进一步加快装配式建筑发展的通知》（甬政办发〔</w:t>
      </w:r>
      <w:r>
        <w:rPr>
          <w:rFonts w:hint="eastAsia"/>
          <w:color w:val="000000"/>
          <w:szCs w:val="30"/>
        </w:rPr>
        <w:t>2017</w:t>
      </w:r>
      <w:r>
        <w:rPr>
          <w:rFonts w:hint="eastAsia"/>
          <w:color w:val="000000"/>
          <w:szCs w:val="30"/>
        </w:rPr>
        <w:t>〕</w:t>
      </w:r>
      <w:r>
        <w:rPr>
          <w:rFonts w:hint="eastAsia"/>
          <w:color w:val="000000"/>
          <w:szCs w:val="30"/>
        </w:rPr>
        <w:t xml:space="preserve">30 </w:t>
      </w:r>
      <w:r>
        <w:rPr>
          <w:rFonts w:hint="eastAsia"/>
          <w:color w:val="000000"/>
          <w:szCs w:val="30"/>
        </w:rPr>
        <w:t>号）、《宁波市绿色建筑专项规划</w:t>
      </w:r>
      <w:r>
        <w:rPr>
          <w:rFonts w:hint="eastAsia"/>
          <w:color w:val="000000"/>
          <w:szCs w:val="30"/>
        </w:rPr>
        <w:t>(2018-2025</w:t>
      </w:r>
      <w:r>
        <w:rPr>
          <w:rFonts w:hint="eastAsia"/>
          <w:color w:val="000000"/>
          <w:szCs w:val="30"/>
        </w:rPr>
        <w:t>年</w:t>
      </w:r>
      <w:r>
        <w:rPr>
          <w:rFonts w:hint="eastAsia"/>
          <w:color w:val="000000"/>
          <w:szCs w:val="30"/>
        </w:rPr>
        <w:t xml:space="preserve">) </w:t>
      </w:r>
      <w:r>
        <w:rPr>
          <w:rFonts w:hint="eastAsia"/>
          <w:color w:val="000000"/>
          <w:szCs w:val="30"/>
        </w:rPr>
        <w:t>等相关文件及宁波市住房和城乡建设委《宁波市装配式建筑预制率计算细则》立项要求，开展了本细则编制工作。</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细则编制组通过广泛调研，认真总结《宁波市装配式建筑预制率计算细则（试行）》实施情况和实践经验，遵循国家现行标准，结合宁波的实际情况，在广泛征求意见、反复讨论和修改的基础上，修订定了本细则。</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本细则共包括</w:t>
      </w:r>
      <w:r>
        <w:rPr>
          <w:rFonts w:hint="eastAsia"/>
          <w:color w:val="000000"/>
          <w:szCs w:val="30"/>
        </w:rPr>
        <w:t>6</w:t>
      </w:r>
      <w:r>
        <w:rPr>
          <w:rFonts w:hint="eastAsia"/>
          <w:color w:val="000000"/>
          <w:szCs w:val="30"/>
        </w:rPr>
        <w:t>个章节，主要技术内容包含：总则、术语、基本规定、装配率与预</w:t>
      </w:r>
      <w:r>
        <w:rPr>
          <w:rFonts w:hint="eastAsia"/>
          <w:color w:val="000000"/>
          <w:szCs w:val="30"/>
        </w:rPr>
        <w:t>制率计算方法、预制外墙外表面积比计算方法与预制外墙建筑面积的计算方法和评价等级划分等。</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本细则由宁波市住房和城乡建设委员会负责管理，由宁波工程学院等主编单位负责具体技术内容解释。在执行过程中如有意见或建议，请寄送宁波工程学院。（地址：宁波市江北区风华路</w:t>
      </w:r>
      <w:r>
        <w:rPr>
          <w:rFonts w:hint="eastAsia"/>
          <w:color w:val="000000"/>
          <w:szCs w:val="30"/>
        </w:rPr>
        <w:t>201</w:t>
      </w:r>
      <w:r>
        <w:rPr>
          <w:rFonts w:hint="eastAsia"/>
          <w:color w:val="000000"/>
          <w:szCs w:val="30"/>
        </w:rPr>
        <w:t>号宁波工程学院建筑与交通工程学院</w:t>
      </w:r>
      <w:r>
        <w:rPr>
          <w:rFonts w:hint="eastAsia"/>
          <w:color w:val="000000"/>
          <w:szCs w:val="30"/>
        </w:rPr>
        <w:t>B806</w:t>
      </w:r>
      <w:r>
        <w:rPr>
          <w:rFonts w:hint="eastAsia"/>
          <w:color w:val="000000"/>
          <w:szCs w:val="30"/>
        </w:rPr>
        <w:t>办公室；邮编：</w:t>
      </w:r>
      <w:r>
        <w:rPr>
          <w:rFonts w:hint="eastAsia"/>
          <w:color w:val="000000"/>
          <w:szCs w:val="30"/>
        </w:rPr>
        <w:t>315211</w:t>
      </w:r>
      <w:r>
        <w:rPr>
          <w:rFonts w:hint="eastAsia"/>
          <w:color w:val="000000"/>
          <w:szCs w:val="30"/>
        </w:rPr>
        <w:t>）。</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本细则的制定体现了现阶段装配式建筑发展的重点推进方向：（</w:t>
      </w:r>
      <w:r>
        <w:rPr>
          <w:rFonts w:hint="eastAsia"/>
          <w:color w:val="000000"/>
          <w:szCs w:val="30"/>
        </w:rPr>
        <w:t>1</w:t>
      </w:r>
      <w:r>
        <w:rPr>
          <w:rFonts w:hint="eastAsia"/>
          <w:color w:val="000000"/>
          <w:szCs w:val="30"/>
        </w:rPr>
        <w:t>）推行装配式建筑全装修与主体结构、机电设备协同施工；（</w:t>
      </w:r>
      <w:r>
        <w:rPr>
          <w:rFonts w:hint="eastAsia"/>
          <w:color w:val="000000"/>
          <w:szCs w:val="30"/>
        </w:rPr>
        <w:t>2</w:t>
      </w:r>
      <w:r>
        <w:rPr>
          <w:rFonts w:hint="eastAsia"/>
          <w:color w:val="000000"/>
          <w:szCs w:val="30"/>
        </w:rPr>
        <w:t>）推行装配式建筑一体化集成设计，提高标准化部品部件的应用比例；（</w:t>
      </w:r>
      <w:r>
        <w:rPr>
          <w:rFonts w:hint="eastAsia"/>
          <w:color w:val="000000"/>
          <w:szCs w:val="30"/>
        </w:rPr>
        <w:t>3</w:t>
      </w:r>
      <w:r>
        <w:rPr>
          <w:rFonts w:hint="eastAsia"/>
          <w:color w:val="000000"/>
          <w:szCs w:val="30"/>
        </w:rPr>
        <w:t>）</w:t>
      </w:r>
      <w:r>
        <w:rPr>
          <w:rFonts w:hint="eastAsia"/>
          <w:color w:val="000000"/>
          <w:szCs w:val="30"/>
        </w:rPr>
        <w:t>推行新技术、新材料、新工艺的应用；（</w:t>
      </w:r>
      <w:r>
        <w:rPr>
          <w:rFonts w:hint="eastAsia"/>
          <w:color w:val="000000"/>
          <w:szCs w:val="30"/>
        </w:rPr>
        <w:t>4</w:t>
      </w:r>
      <w:r>
        <w:rPr>
          <w:rFonts w:hint="eastAsia"/>
          <w:color w:val="000000"/>
          <w:szCs w:val="30"/>
        </w:rPr>
        <w:t>）</w:t>
      </w:r>
      <w:r>
        <w:rPr>
          <w:rFonts w:hint="eastAsia"/>
          <w:color w:val="000000"/>
          <w:szCs w:val="30"/>
        </w:rPr>
        <w:t xml:space="preserve"> </w:t>
      </w:r>
      <w:r>
        <w:rPr>
          <w:rFonts w:hint="eastAsia"/>
          <w:color w:val="000000"/>
          <w:szCs w:val="30"/>
        </w:rPr>
        <w:t>大力发展钢结构。同时本细则的制定严格遵守国家和地方相关法律法规，并在广泛征求相关单位意见，认真总结宁波地区装配式建筑方面的实践经验与研究成果基础上而制定。</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本标准主编单位、参编单位、主要起草人和主要审查人：</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lastRenderedPageBreak/>
        <w:t>主编单位：</w:t>
      </w:r>
      <w:r>
        <w:rPr>
          <w:rFonts w:hint="eastAsia"/>
          <w:color w:val="000000"/>
          <w:szCs w:val="30"/>
        </w:rPr>
        <w:t xml:space="preserve"> </w:t>
      </w:r>
      <w:r>
        <w:rPr>
          <w:rFonts w:hint="eastAsia"/>
          <w:color w:val="000000"/>
          <w:szCs w:val="30"/>
        </w:rPr>
        <w:t>宁波工程学院</w:t>
      </w:r>
    </w:p>
    <w:p w:rsidR="00512332" w:rsidRDefault="00E80EF5">
      <w:pPr>
        <w:adjustRightInd w:val="0"/>
        <w:snapToGrid w:val="0"/>
        <w:spacing w:line="500" w:lineRule="exact"/>
        <w:ind w:firstLineChars="756" w:firstLine="2268"/>
        <w:jc w:val="left"/>
        <w:rPr>
          <w:color w:val="000000"/>
          <w:szCs w:val="30"/>
        </w:rPr>
      </w:pPr>
      <w:r>
        <w:rPr>
          <w:rFonts w:hint="eastAsia"/>
          <w:color w:val="000000"/>
          <w:szCs w:val="30"/>
        </w:rPr>
        <w:t>宁波房屋建筑设计研究院有限公司</w:t>
      </w:r>
    </w:p>
    <w:p w:rsidR="00512332" w:rsidRDefault="00E80EF5">
      <w:pPr>
        <w:adjustRightInd w:val="0"/>
        <w:snapToGrid w:val="0"/>
        <w:spacing w:line="500" w:lineRule="exact"/>
        <w:ind w:firstLineChars="756" w:firstLine="2268"/>
        <w:jc w:val="left"/>
        <w:rPr>
          <w:color w:val="000000"/>
          <w:szCs w:val="30"/>
        </w:rPr>
      </w:pPr>
      <w:r>
        <w:rPr>
          <w:rFonts w:hint="eastAsia"/>
          <w:color w:val="000000"/>
          <w:szCs w:val="30"/>
        </w:rPr>
        <w:t>国家土建结构预制装配化工程中心宁波分中心</w:t>
      </w:r>
    </w:p>
    <w:p w:rsidR="00512332" w:rsidRDefault="00E80EF5">
      <w:pPr>
        <w:adjustRightInd w:val="0"/>
        <w:snapToGrid w:val="0"/>
        <w:spacing w:line="500" w:lineRule="exact"/>
        <w:ind w:firstLineChars="756" w:firstLine="2268"/>
        <w:jc w:val="left"/>
        <w:rPr>
          <w:color w:val="000000"/>
          <w:szCs w:val="30"/>
        </w:rPr>
      </w:pPr>
      <w:r>
        <w:rPr>
          <w:rFonts w:hint="eastAsia"/>
          <w:color w:val="000000"/>
          <w:szCs w:val="30"/>
        </w:rPr>
        <w:t>华聪建筑信息科技有限公司</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参编单位：</w:t>
      </w:r>
      <w:r>
        <w:rPr>
          <w:rFonts w:hint="eastAsia"/>
          <w:color w:val="000000"/>
          <w:szCs w:val="30"/>
        </w:rPr>
        <w:t xml:space="preserve"> </w:t>
      </w:r>
      <w:r>
        <w:rPr>
          <w:rFonts w:hint="eastAsia"/>
          <w:color w:val="000000"/>
          <w:szCs w:val="30"/>
        </w:rPr>
        <w:t>宁波市建筑设计研究院有限公司</w:t>
      </w:r>
    </w:p>
    <w:p w:rsidR="00512332" w:rsidRDefault="00E80EF5">
      <w:pPr>
        <w:adjustRightInd w:val="0"/>
        <w:snapToGrid w:val="0"/>
        <w:spacing w:line="500" w:lineRule="exact"/>
        <w:ind w:firstLineChars="756" w:firstLine="2268"/>
        <w:jc w:val="left"/>
        <w:rPr>
          <w:color w:val="000000"/>
          <w:szCs w:val="30"/>
        </w:rPr>
      </w:pPr>
      <w:r>
        <w:rPr>
          <w:rFonts w:hint="eastAsia"/>
          <w:color w:val="000000"/>
          <w:szCs w:val="30"/>
        </w:rPr>
        <w:t>宁波普利凯建筑科技有限公司</w:t>
      </w:r>
    </w:p>
    <w:p w:rsidR="00512332" w:rsidRDefault="00E80EF5">
      <w:pPr>
        <w:adjustRightInd w:val="0"/>
        <w:snapToGrid w:val="0"/>
        <w:spacing w:line="500" w:lineRule="exact"/>
        <w:ind w:firstLineChars="756" w:firstLine="2268"/>
        <w:jc w:val="left"/>
        <w:rPr>
          <w:color w:val="000000"/>
          <w:szCs w:val="30"/>
        </w:rPr>
      </w:pPr>
      <w:r>
        <w:rPr>
          <w:rFonts w:hint="eastAsia"/>
          <w:color w:val="000000"/>
          <w:szCs w:val="30"/>
        </w:rPr>
        <w:t>宁波市建筑工程安全质量监督总站</w:t>
      </w:r>
    </w:p>
    <w:p w:rsidR="00512332" w:rsidRDefault="00E80EF5">
      <w:pPr>
        <w:adjustRightInd w:val="0"/>
        <w:snapToGrid w:val="0"/>
        <w:spacing w:line="500" w:lineRule="exact"/>
        <w:ind w:firstLineChars="756" w:firstLine="2268"/>
        <w:jc w:val="left"/>
        <w:rPr>
          <w:color w:val="000000"/>
          <w:szCs w:val="30"/>
        </w:rPr>
      </w:pPr>
      <w:r>
        <w:rPr>
          <w:rFonts w:hint="eastAsia"/>
          <w:color w:val="000000"/>
          <w:szCs w:val="30"/>
        </w:rPr>
        <w:t>宁波中淳高科桩业股份有限公司</w:t>
      </w:r>
    </w:p>
    <w:p w:rsidR="00512332" w:rsidRDefault="00512332">
      <w:pPr>
        <w:adjustRightInd w:val="0"/>
        <w:snapToGrid w:val="0"/>
        <w:spacing w:line="500" w:lineRule="exact"/>
        <w:ind w:firstLineChars="200" w:firstLine="600"/>
        <w:jc w:val="left"/>
        <w:rPr>
          <w:color w:val="000000"/>
          <w:szCs w:val="30"/>
        </w:rPr>
      </w:pP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主要起草人：</w:t>
      </w:r>
      <w:r>
        <w:rPr>
          <w:rFonts w:hint="eastAsia"/>
          <w:color w:val="000000"/>
          <w:szCs w:val="30"/>
        </w:rPr>
        <w:t xml:space="preserve"> </w:t>
      </w:r>
    </w:p>
    <w:p w:rsidR="00512332" w:rsidRDefault="00E80EF5">
      <w:pPr>
        <w:adjustRightInd w:val="0"/>
        <w:snapToGrid w:val="0"/>
        <w:spacing w:line="500" w:lineRule="exact"/>
        <w:ind w:firstLineChars="200" w:firstLine="600"/>
        <w:jc w:val="left"/>
        <w:rPr>
          <w:color w:val="000000"/>
          <w:szCs w:val="30"/>
        </w:rPr>
      </w:pPr>
      <w:r>
        <w:rPr>
          <w:rFonts w:hint="eastAsia"/>
          <w:color w:val="000000"/>
          <w:szCs w:val="30"/>
        </w:rPr>
        <w:t>主要审查人：</w:t>
      </w:r>
    </w:p>
    <w:p w:rsidR="00512332" w:rsidRDefault="00E80EF5">
      <w:pPr>
        <w:spacing w:line="360" w:lineRule="auto"/>
        <w:ind w:firstLine="600"/>
        <w:rPr>
          <w:color w:val="000000"/>
        </w:rPr>
        <w:sectPr w:rsidR="00512332">
          <w:pgSz w:w="11907" w:h="16839"/>
          <w:pgMar w:top="1440" w:right="1474" w:bottom="1440" w:left="1474" w:header="851" w:footer="992" w:gutter="0"/>
          <w:pgNumType w:start="1"/>
          <w:cols w:space="425"/>
          <w:docGrid w:linePitch="408"/>
        </w:sectPr>
      </w:pPr>
      <w:r>
        <w:rPr>
          <w:color w:val="000000"/>
        </w:rPr>
        <w:t xml:space="preserve"> </w:t>
      </w:r>
    </w:p>
    <w:p w:rsidR="00512332" w:rsidRDefault="00E80EF5">
      <w:pPr>
        <w:ind w:firstLine="720"/>
        <w:jc w:val="center"/>
        <w:rPr>
          <w:sz w:val="36"/>
          <w:szCs w:val="36"/>
        </w:rPr>
      </w:pPr>
      <w:r>
        <w:rPr>
          <w:sz w:val="36"/>
          <w:szCs w:val="36"/>
        </w:rPr>
        <w:lastRenderedPageBreak/>
        <w:t>目</w:t>
      </w:r>
      <w:r>
        <w:rPr>
          <w:sz w:val="36"/>
          <w:szCs w:val="36"/>
        </w:rPr>
        <w:t xml:space="preserve">   </w:t>
      </w:r>
      <w:r>
        <w:rPr>
          <w:sz w:val="36"/>
          <w:szCs w:val="36"/>
        </w:rPr>
        <w:t>次</w:t>
      </w:r>
      <w:bookmarkEnd w:id="1"/>
      <w:bookmarkEnd w:id="2"/>
      <w:bookmarkEnd w:id="3"/>
      <w:bookmarkEnd w:id="4"/>
      <w:bookmarkEnd w:id="5"/>
      <w:bookmarkEnd w:id="13"/>
    </w:p>
    <w:p w:rsidR="00512332" w:rsidRDefault="00512332">
      <w:pPr>
        <w:ind w:firstLine="720"/>
        <w:jc w:val="center"/>
        <w:rPr>
          <w:sz w:val="36"/>
          <w:szCs w:val="36"/>
        </w:rPr>
      </w:pPr>
    </w:p>
    <w:p w:rsidR="00512332" w:rsidRDefault="00512332">
      <w:pPr>
        <w:pStyle w:val="21"/>
        <w:rPr>
          <w:rFonts w:asciiTheme="minorHAnsi" w:eastAsiaTheme="minorEastAsia" w:hAnsiTheme="minorHAnsi" w:cstheme="minorBidi"/>
          <w:kern w:val="2"/>
          <w:sz w:val="21"/>
          <w:szCs w:val="22"/>
        </w:rPr>
      </w:pPr>
      <w:r w:rsidRPr="00512332">
        <w:fldChar w:fldCharType="begin"/>
      </w:r>
      <w:r w:rsidR="00E80EF5">
        <w:instrText xml:space="preserve"> TOC \o "1-3" \h \z \u </w:instrText>
      </w:r>
      <w:r w:rsidRPr="00512332">
        <w:fldChar w:fldCharType="separate"/>
      </w:r>
      <w:hyperlink w:anchor="_Toc532848592" w:history="1">
        <w:r w:rsidR="00E80EF5">
          <w:rPr>
            <w:rStyle w:val="af8"/>
          </w:rPr>
          <w:t xml:space="preserve">1  </w:t>
        </w:r>
        <w:r w:rsidR="00E80EF5">
          <w:rPr>
            <w:rStyle w:val="af8"/>
            <w:rFonts w:hint="eastAsia"/>
          </w:rPr>
          <w:t>总</w:t>
        </w:r>
        <w:r w:rsidR="00E80EF5">
          <w:rPr>
            <w:rStyle w:val="af8"/>
          </w:rPr>
          <w:t xml:space="preserve">   </w:t>
        </w:r>
        <w:r w:rsidR="00E80EF5">
          <w:rPr>
            <w:rStyle w:val="af8"/>
            <w:rFonts w:hint="eastAsia"/>
          </w:rPr>
          <w:t>则</w:t>
        </w:r>
        <w:r w:rsidR="00E80EF5">
          <w:tab/>
        </w:r>
        <w:r>
          <w:fldChar w:fldCharType="begin"/>
        </w:r>
        <w:r w:rsidR="00E80EF5">
          <w:instrText xml:space="preserve"> PAGEREF _Toc532848592 \h </w:instrText>
        </w:r>
        <w:r>
          <w:fldChar w:fldCharType="separate"/>
        </w:r>
        <w:r w:rsidR="00E80EF5">
          <w:t>1</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93" w:history="1">
        <w:r w:rsidR="00E80EF5">
          <w:rPr>
            <w:rStyle w:val="af8"/>
          </w:rPr>
          <w:t xml:space="preserve">2  </w:t>
        </w:r>
        <w:r w:rsidR="00E80EF5">
          <w:rPr>
            <w:rStyle w:val="af8"/>
            <w:rFonts w:hint="eastAsia"/>
          </w:rPr>
          <w:t>术</w:t>
        </w:r>
        <w:r w:rsidR="00E80EF5">
          <w:rPr>
            <w:rStyle w:val="af8"/>
          </w:rPr>
          <w:t xml:space="preserve">   </w:t>
        </w:r>
        <w:r w:rsidR="00E80EF5">
          <w:rPr>
            <w:rStyle w:val="af8"/>
            <w:rFonts w:hint="eastAsia"/>
          </w:rPr>
          <w:t>语</w:t>
        </w:r>
        <w:r w:rsidR="00E80EF5">
          <w:tab/>
        </w:r>
        <w:r>
          <w:fldChar w:fldCharType="begin"/>
        </w:r>
        <w:r w:rsidR="00E80EF5">
          <w:instrText xml:space="preserve"> PAGEREF _Toc532848593 \h </w:instrText>
        </w:r>
        <w:r>
          <w:fldChar w:fldCharType="separate"/>
        </w:r>
        <w:r w:rsidR="00E80EF5">
          <w:t>2</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94" w:history="1">
        <w:r w:rsidR="00E80EF5">
          <w:rPr>
            <w:rStyle w:val="af8"/>
          </w:rPr>
          <w:t xml:space="preserve">3  </w:t>
        </w:r>
        <w:r w:rsidR="00E80EF5">
          <w:rPr>
            <w:rStyle w:val="af8"/>
            <w:rFonts w:hint="eastAsia"/>
          </w:rPr>
          <w:t>基本规定</w:t>
        </w:r>
        <w:r w:rsidR="00E80EF5">
          <w:tab/>
        </w:r>
        <w:r>
          <w:fldChar w:fldCharType="begin"/>
        </w:r>
        <w:r w:rsidR="00E80EF5">
          <w:instrText xml:space="preserve"> PAGEREF _To</w:instrText>
        </w:r>
        <w:r w:rsidR="00E80EF5">
          <w:instrText xml:space="preserve">c532848594 \h </w:instrText>
        </w:r>
        <w:r>
          <w:fldChar w:fldCharType="separate"/>
        </w:r>
        <w:r w:rsidR="00E80EF5">
          <w:t>3</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95" w:history="1">
        <w:r w:rsidR="00E80EF5">
          <w:rPr>
            <w:rStyle w:val="af8"/>
          </w:rPr>
          <w:t xml:space="preserve">4  </w:t>
        </w:r>
        <w:r w:rsidR="00E80EF5">
          <w:rPr>
            <w:rStyle w:val="af8"/>
            <w:rFonts w:hint="eastAsia"/>
          </w:rPr>
          <w:t>装配率与预制率计算</w:t>
        </w:r>
        <w:r w:rsidR="00E80EF5">
          <w:tab/>
        </w:r>
        <w:r>
          <w:fldChar w:fldCharType="begin"/>
        </w:r>
        <w:r w:rsidR="00E80EF5">
          <w:instrText xml:space="preserve"> PAGEREF _Toc532848595 \h </w:instrText>
        </w:r>
        <w:r>
          <w:fldChar w:fldCharType="separate"/>
        </w:r>
        <w:r w:rsidR="00E80EF5">
          <w:t>5</w:t>
        </w:r>
        <w:r>
          <w:fldChar w:fldCharType="end"/>
        </w:r>
      </w:hyperlink>
    </w:p>
    <w:p w:rsidR="00512332" w:rsidRDefault="00512332">
      <w:pPr>
        <w:pStyle w:val="30"/>
        <w:rPr>
          <w:rFonts w:asciiTheme="minorHAnsi" w:eastAsiaTheme="minorEastAsia" w:hAnsiTheme="minorHAnsi" w:cstheme="minorBidi"/>
          <w:kern w:val="2"/>
          <w:sz w:val="21"/>
        </w:rPr>
      </w:pPr>
      <w:hyperlink w:anchor="_Toc532848596" w:history="1">
        <w:r w:rsidR="00E80EF5">
          <w:rPr>
            <w:rStyle w:val="af8"/>
          </w:rPr>
          <w:t>4.1</w:t>
        </w:r>
        <w:r w:rsidR="00E80EF5">
          <w:rPr>
            <w:rStyle w:val="af8"/>
            <w:rFonts w:hint="eastAsia"/>
          </w:rPr>
          <w:t>装配率计算</w:t>
        </w:r>
        <w:r w:rsidR="00E80EF5">
          <w:tab/>
        </w:r>
        <w:r>
          <w:fldChar w:fldCharType="begin"/>
        </w:r>
        <w:r w:rsidR="00E80EF5">
          <w:instrText xml:space="preserve"> PAGEREF _Toc532848596 \h </w:instrText>
        </w:r>
        <w:r>
          <w:fldChar w:fldCharType="separate"/>
        </w:r>
        <w:r w:rsidR="00E80EF5">
          <w:t>5</w:t>
        </w:r>
        <w:r>
          <w:fldChar w:fldCharType="end"/>
        </w:r>
      </w:hyperlink>
    </w:p>
    <w:p w:rsidR="00512332" w:rsidRDefault="00512332">
      <w:pPr>
        <w:pStyle w:val="30"/>
        <w:rPr>
          <w:rFonts w:asciiTheme="minorHAnsi" w:eastAsiaTheme="minorEastAsia" w:hAnsiTheme="minorHAnsi" w:cstheme="minorBidi"/>
          <w:kern w:val="2"/>
          <w:sz w:val="21"/>
        </w:rPr>
      </w:pPr>
      <w:hyperlink w:anchor="_Toc532848597" w:history="1">
        <w:r w:rsidR="00E80EF5">
          <w:rPr>
            <w:rStyle w:val="af8"/>
          </w:rPr>
          <w:t>4.2</w:t>
        </w:r>
        <w:r w:rsidR="00E80EF5">
          <w:rPr>
            <w:rStyle w:val="af8"/>
            <w:rFonts w:hint="eastAsia"/>
          </w:rPr>
          <w:t>预制率计算</w:t>
        </w:r>
        <w:r w:rsidR="00E80EF5">
          <w:tab/>
        </w:r>
        <w:r>
          <w:fldChar w:fldCharType="begin"/>
        </w:r>
        <w:r w:rsidR="00E80EF5">
          <w:instrText xml:space="preserve"> PAGEREF _Toc532848597 \h </w:instrText>
        </w:r>
        <w:r>
          <w:fldChar w:fldCharType="separate"/>
        </w:r>
        <w:r w:rsidR="00E80EF5">
          <w:t>11</w:t>
        </w:r>
        <w:r>
          <w:fldChar w:fldCharType="end"/>
        </w:r>
      </w:hyperlink>
    </w:p>
    <w:p w:rsidR="00512332" w:rsidRDefault="00512332">
      <w:pPr>
        <w:pStyle w:val="30"/>
        <w:rPr>
          <w:rFonts w:asciiTheme="minorHAnsi" w:eastAsiaTheme="minorEastAsia" w:hAnsiTheme="minorHAnsi" w:cstheme="minorBidi"/>
          <w:kern w:val="2"/>
          <w:sz w:val="21"/>
        </w:rPr>
      </w:pPr>
      <w:hyperlink w:anchor="_Toc532848598" w:history="1">
        <w:r w:rsidR="00E80EF5">
          <w:rPr>
            <w:rStyle w:val="af8"/>
          </w:rPr>
          <w:t>4.3</w:t>
        </w:r>
        <w:r w:rsidR="00E80EF5">
          <w:rPr>
            <w:rStyle w:val="af8"/>
            <w:rFonts w:hint="eastAsia"/>
          </w:rPr>
          <w:t>计算规定</w:t>
        </w:r>
        <w:r w:rsidR="00E80EF5">
          <w:tab/>
        </w:r>
        <w:r>
          <w:fldChar w:fldCharType="begin"/>
        </w:r>
        <w:r w:rsidR="00E80EF5">
          <w:instrText xml:space="preserve"> PAGEREF _Toc532848598 \h </w:instrText>
        </w:r>
        <w:r>
          <w:fldChar w:fldCharType="separate"/>
        </w:r>
        <w:r w:rsidR="00E80EF5">
          <w:t>14</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99" w:history="1">
        <w:r w:rsidR="00E80EF5">
          <w:rPr>
            <w:rStyle w:val="af8"/>
          </w:rPr>
          <w:t xml:space="preserve">5  </w:t>
        </w:r>
        <w:r w:rsidR="00E80EF5">
          <w:rPr>
            <w:rStyle w:val="af8"/>
            <w:rFonts w:hint="eastAsia"/>
          </w:rPr>
          <w:t>预制外墙外表面积比计算</w:t>
        </w:r>
        <w:r w:rsidR="00E80EF5">
          <w:tab/>
        </w:r>
        <w:r>
          <w:fldChar w:fldCharType="begin"/>
        </w:r>
        <w:r w:rsidR="00E80EF5">
          <w:instrText xml:space="preserve"> PAGEREF _Toc532848599 \h </w:instrText>
        </w:r>
        <w:r>
          <w:fldChar w:fldCharType="separate"/>
        </w:r>
        <w:r w:rsidR="00E80EF5">
          <w:t>15</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600" w:history="1">
        <w:r w:rsidR="00E80EF5">
          <w:rPr>
            <w:rStyle w:val="af8"/>
          </w:rPr>
          <w:t xml:space="preserve">6  </w:t>
        </w:r>
        <w:r w:rsidR="00E80EF5">
          <w:rPr>
            <w:rStyle w:val="af8"/>
            <w:rFonts w:hint="eastAsia"/>
          </w:rPr>
          <w:t>预制外墙建筑面积计算</w:t>
        </w:r>
        <w:r w:rsidR="00E80EF5">
          <w:tab/>
        </w:r>
        <w:r>
          <w:fldChar w:fldCharType="begin"/>
        </w:r>
        <w:r w:rsidR="00E80EF5">
          <w:instrText xml:space="preserve"> PAGEREF _Toc532848600 \h </w:instrText>
        </w:r>
        <w:r>
          <w:fldChar w:fldCharType="separate"/>
        </w:r>
        <w:r w:rsidR="00E80EF5">
          <w:t>19</w:t>
        </w:r>
        <w:r>
          <w:fldChar w:fldCharType="end"/>
        </w:r>
      </w:hyperlink>
    </w:p>
    <w:p w:rsidR="00512332" w:rsidRDefault="00512332">
      <w:pPr>
        <w:ind w:firstLine="640"/>
        <w:rPr>
          <w:szCs w:val="30"/>
        </w:rPr>
        <w:sectPr w:rsidR="00512332">
          <w:pgSz w:w="11906" w:h="16838"/>
          <w:pgMar w:top="1440" w:right="1474" w:bottom="1440" w:left="1474" w:header="851" w:footer="992" w:gutter="0"/>
          <w:pgNumType w:start="1"/>
          <w:cols w:space="425"/>
          <w:docGrid w:linePitch="408"/>
        </w:sectPr>
      </w:pPr>
      <w:r>
        <w:rPr>
          <w:sz w:val="32"/>
          <w:szCs w:val="32"/>
        </w:rPr>
        <w:fldChar w:fldCharType="end"/>
      </w:r>
      <w:bookmarkStart w:id="14" w:name="_Toc427495994"/>
    </w:p>
    <w:p w:rsidR="00512332" w:rsidRDefault="00E80EF5">
      <w:pPr>
        <w:pStyle w:val="2"/>
        <w:spacing w:after="600" w:line="400" w:lineRule="exact"/>
        <w:ind w:firstLine="643"/>
        <w:jc w:val="center"/>
        <w:rPr>
          <w:rFonts w:ascii="Times New Roman" w:eastAsia="宋体" w:hAnsi="Times New Roman"/>
        </w:rPr>
      </w:pPr>
      <w:bookmarkStart w:id="15" w:name="_Toc532848592"/>
      <w:bookmarkStart w:id="16" w:name="_Toc532848517"/>
      <w:bookmarkStart w:id="17" w:name="_Toc431905668"/>
      <w:bookmarkStart w:id="18" w:name="_Toc431905669"/>
      <w:bookmarkStart w:id="19" w:name="_Toc248809013"/>
      <w:bookmarkStart w:id="20" w:name="_Toc231009964"/>
      <w:bookmarkStart w:id="21" w:name="_Toc250383291"/>
      <w:bookmarkStart w:id="22" w:name="_Toc427495995"/>
      <w:bookmarkEnd w:id="14"/>
      <w:r>
        <w:rPr>
          <w:rFonts w:ascii="Times New Roman" w:eastAsia="宋体" w:hAnsi="Times New Roman"/>
        </w:rPr>
        <w:lastRenderedPageBreak/>
        <w:t xml:space="preserve">1  </w:t>
      </w:r>
      <w:r>
        <w:rPr>
          <w:rFonts w:ascii="Times New Roman" w:eastAsia="宋体" w:hAnsi="Times New Roman"/>
        </w:rPr>
        <w:t>总</w:t>
      </w:r>
      <w:r>
        <w:rPr>
          <w:rFonts w:ascii="Times New Roman" w:eastAsia="宋体" w:hAnsi="Times New Roman"/>
        </w:rPr>
        <w:t xml:space="preserve">   </w:t>
      </w:r>
      <w:r>
        <w:rPr>
          <w:rFonts w:ascii="Times New Roman" w:eastAsia="宋体" w:hAnsi="Times New Roman"/>
        </w:rPr>
        <w:t>则</w:t>
      </w:r>
      <w:bookmarkEnd w:id="15"/>
      <w:bookmarkEnd w:id="16"/>
      <w:bookmarkEnd w:id="17"/>
    </w:p>
    <w:p w:rsidR="00512332" w:rsidRDefault="00E80EF5">
      <w:pPr>
        <w:pStyle w:val="4"/>
        <w:spacing w:before="120"/>
      </w:pPr>
      <w:r>
        <w:rPr>
          <w:rFonts w:hint="eastAsia"/>
          <w:b/>
        </w:rPr>
        <w:t>1.0.1</w:t>
      </w:r>
      <w:r>
        <w:rPr>
          <w:rFonts w:hint="eastAsia"/>
        </w:rPr>
        <w:t xml:space="preserve">  </w:t>
      </w:r>
      <w:r>
        <w:rPr>
          <w:rFonts w:hint="eastAsia"/>
        </w:rPr>
        <w:t>为统一装配率和预制率计算，规范装配式建筑评价，促进装配式建筑发展，提高装配式建筑的环境效益、社会效益和经济效益，制定本细则。</w:t>
      </w:r>
    </w:p>
    <w:p w:rsidR="00512332" w:rsidRDefault="00E80EF5">
      <w:pPr>
        <w:pStyle w:val="4"/>
        <w:spacing w:before="120"/>
      </w:pPr>
      <w:r>
        <w:rPr>
          <w:rFonts w:hint="eastAsia"/>
          <w:b/>
        </w:rPr>
        <w:t>1.0.2</w:t>
      </w:r>
      <w:r>
        <w:rPr>
          <w:rFonts w:hint="eastAsia"/>
        </w:rPr>
        <w:t xml:space="preserve">  </w:t>
      </w:r>
      <w:r>
        <w:rPr>
          <w:rFonts w:hint="eastAsia"/>
        </w:rPr>
        <w:t>本细则适用于宁波市装配式建筑在设计阶段的装配率和预制率计算。</w:t>
      </w:r>
    </w:p>
    <w:p w:rsidR="00512332" w:rsidRDefault="00E80EF5">
      <w:pPr>
        <w:pStyle w:val="4"/>
        <w:spacing w:before="120"/>
      </w:pPr>
      <w:r>
        <w:rPr>
          <w:rFonts w:hint="eastAsia"/>
          <w:b/>
        </w:rPr>
        <w:t xml:space="preserve">1.0.3 </w:t>
      </w:r>
      <w:r>
        <w:rPr>
          <w:rFonts w:hint="eastAsia"/>
        </w:rPr>
        <w:t xml:space="preserve"> </w:t>
      </w:r>
      <w:r>
        <w:rPr>
          <w:rFonts w:hint="eastAsia"/>
        </w:rPr>
        <w:t>装配率和预制率计算除应符合本细则外，尚应符合国家和浙江省现行标准的有关规定。</w:t>
      </w:r>
    </w:p>
    <w:p w:rsidR="00512332" w:rsidRDefault="00E80EF5">
      <w:pPr>
        <w:pStyle w:val="4"/>
        <w:spacing w:before="120"/>
      </w:pPr>
      <w:r>
        <w:rPr>
          <w:rFonts w:hint="eastAsia"/>
          <w:b/>
        </w:rPr>
        <w:t xml:space="preserve">1.0.4 </w:t>
      </w:r>
      <w:r>
        <w:rPr>
          <w:rFonts w:hint="eastAsia"/>
        </w:rPr>
        <w:t xml:space="preserve"> </w:t>
      </w:r>
      <w:r>
        <w:rPr>
          <w:rFonts w:hint="eastAsia"/>
        </w:rPr>
        <w:t>本细则自</w:t>
      </w:r>
      <w:r>
        <w:rPr>
          <w:rFonts w:hint="eastAsia"/>
        </w:rPr>
        <w:t>2019</w:t>
      </w:r>
      <w:r>
        <w:rPr>
          <w:rFonts w:hint="eastAsia"/>
        </w:rPr>
        <w:t>年</w:t>
      </w:r>
      <w:r>
        <w:rPr>
          <w:rFonts w:hint="eastAsia"/>
        </w:rPr>
        <w:t>1</w:t>
      </w:r>
      <w:r>
        <w:rPr>
          <w:rFonts w:hint="eastAsia"/>
        </w:rPr>
        <w:t>月</w:t>
      </w:r>
      <w:r>
        <w:rPr>
          <w:rFonts w:hint="eastAsia"/>
        </w:rPr>
        <w:t>1</w:t>
      </w:r>
      <w:r>
        <w:rPr>
          <w:rFonts w:hint="eastAsia"/>
        </w:rPr>
        <w:t>日起执行。</w:t>
      </w:r>
    </w:p>
    <w:p w:rsidR="00512332" w:rsidRDefault="00512332">
      <w:pPr>
        <w:ind w:firstLine="600"/>
        <w:sectPr w:rsidR="00512332">
          <w:pgSz w:w="11906" w:h="16838"/>
          <w:pgMar w:top="1440" w:right="1474" w:bottom="1440" w:left="1474" w:header="851" w:footer="992" w:gutter="0"/>
          <w:pgNumType w:start="1"/>
          <w:cols w:space="425"/>
          <w:docGrid w:linePitch="408"/>
        </w:sectPr>
      </w:pPr>
    </w:p>
    <w:p w:rsidR="00512332" w:rsidRDefault="00E80EF5">
      <w:pPr>
        <w:pStyle w:val="2"/>
        <w:spacing w:after="600" w:line="400" w:lineRule="exact"/>
        <w:ind w:firstLine="643"/>
        <w:jc w:val="center"/>
        <w:rPr>
          <w:rFonts w:ascii="Times New Roman" w:eastAsia="宋体" w:hAnsi="Times New Roman"/>
        </w:rPr>
      </w:pPr>
      <w:bookmarkStart w:id="23" w:name="_Toc532848518"/>
      <w:bookmarkStart w:id="24" w:name="_Toc532848593"/>
      <w:r>
        <w:rPr>
          <w:rFonts w:ascii="Times New Roman" w:eastAsia="宋体" w:hAnsi="Times New Roman"/>
        </w:rPr>
        <w:lastRenderedPageBreak/>
        <w:t xml:space="preserve">2  </w:t>
      </w:r>
      <w:r>
        <w:rPr>
          <w:rFonts w:ascii="Times New Roman" w:eastAsia="宋体" w:hAnsi="Times New Roman"/>
        </w:rPr>
        <w:t>术</w:t>
      </w:r>
      <w:r>
        <w:rPr>
          <w:rFonts w:ascii="Times New Roman" w:eastAsia="宋体" w:hAnsi="Times New Roman"/>
        </w:rPr>
        <w:t xml:space="preserve">   </w:t>
      </w:r>
      <w:r>
        <w:rPr>
          <w:rFonts w:ascii="Times New Roman" w:eastAsia="宋体" w:hAnsi="Times New Roman"/>
        </w:rPr>
        <w:t>语</w:t>
      </w:r>
      <w:bookmarkEnd w:id="18"/>
      <w:bookmarkEnd w:id="19"/>
      <w:bookmarkEnd w:id="20"/>
      <w:bookmarkEnd w:id="21"/>
      <w:bookmarkEnd w:id="22"/>
      <w:bookmarkEnd w:id="23"/>
      <w:bookmarkEnd w:id="24"/>
    </w:p>
    <w:p w:rsidR="00512332" w:rsidRDefault="00E80EF5">
      <w:pPr>
        <w:pStyle w:val="4"/>
        <w:spacing w:before="120"/>
      </w:pPr>
      <w:r>
        <w:rPr>
          <w:rFonts w:hint="eastAsia"/>
          <w:b/>
        </w:rPr>
        <w:t>2.0.1</w:t>
      </w:r>
      <w:r>
        <w:rPr>
          <w:rFonts w:hint="eastAsia"/>
        </w:rPr>
        <w:t xml:space="preserve"> </w:t>
      </w:r>
      <w:r>
        <w:rPr>
          <w:rFonts w:hint="eastAsia"/>
        </w:rPr>
        <w:t>装配式建筑</w:t>
      </w:r>
      <w:r>
        <w:rPr>
          <w:rFonts w:hint="eastAsia"/>
        </w:rPr>
        <w:t xml:space="preserve"> prefabricated building</w:t>
      </w:r>
    </w:p>
    <w:p w:rsidR="00512332" w:rsidRDefault="00E80EF5">
      <w:pPr>
        <w:ind w:firstLine="600"/>
      </w:pPr>
      <w:r>
        <w:rPr>
          <w:rFonts w:hint="eastAsia"/>
        </w:rPr>
        <w:t>由预制部品部件在工地装配而成的建筑，采用以标准化设计、工厂化生产、装配化施工、一体化装修和信息化管理等为主要特征的工业化生产方式建造的建筑，包括：装配式混凝土建筑、</w:t>
      </w:r>
      <w:r>
        <w:t>装配</w:t>
      </w:r>
      <w:r>
        <w:rPr>
          <w:rFonts w:hint="eastAsia"/>
        </w:rPr>
        <w:t>式钢</w:t>
      </w:r>
      <w:r>
        <w:t>结构</w:t>
      </w:r>
      <w:r>
        <w:rPr>
          <w:rFonts w:hint="eastAsia"/>
        </w:rPr>
        <w:t>建筑、</w:t>
      </w:r>
      <w:r>
        <w:t>装配</w:t>
      </w:r>
      <w:r>
        <w:rPr>
          <w:rFonts w:hint="eastAsia"/>
        </w:rPr>
        <w:t>式钢</w:t>
      </w:r>
      <w:r>
        <w:t>-</w:t>
      </w:r>
      <w:r>
        <w:rPr>
          <w:rFonts w:hint="eastAsia"/>
        </w:rPr>
        <w:t>混凝土混合</w:t>
      </w:r>
      <w:r>
        <w:t>结构</w:t>
      </w:r>
      <w:r>
        <w:rPr>
          <w:rFonts w:hint="eastAsia"/>
        </w:rPr>
        <w:t>建筑、木结构建筑。</w:t>
      </w:r>
    </w:p>
    <w:p w:rsidR="00512332" w:rsidRDefault="00E80EF5">
      <w:pPr>
        <w:pStyle w:val="4"/>
        <w:spacing w:before="120"/>
      </w:pPr>
      <w:r>
        <w:rPr>
          <w:rFonts w:hint="eastAsia"/>
          <w:b/>
        </w:rPr>
        <w:t>2.0.2</w:t>
      </w:r>
      <w:r>
        <w:rPr>
          <w:rFonts w:hint="eastAsia"/>
        </w:rPr>
        <w:t xml:space="preserve"> </w:t>
      </w:r>
      <w:r>
        <w:rPr>
          <w:rFonts w:hint="eastAsia"/>
        </w:rPr>
        <w:t>装配率</w:t>
      </w:r>
      <w:r>
        <w:rPr>
          <w:rFonts w:hint="eastAsia"/>
        </w:rPr>
        <w:t xml:space="preserve"> prefabrication ratio</w:t>
      </w:r>
    </w:p>
    <w:p w:rsidR="00512332" w:rsidRDefault="00E80EF5">
      <w:pPr>
        <w:ind w:firstLine="600"/>
      </w:pPr>
      <w:r>
        <w:rPr>
          <w:rFonts w:hint="eastAsia"/>
        </w:rPr>
        <w:t>装配式建筑单体±</w:t>
      </w:r>
      <w:r>
        <w:rPr>
          <w:rFonts w:hint="eastAsia"/>
        </w:rPr>
        <w:t>0.000</w:t>
      </w:r>
      <w:r>
        <w:rPr>
          <w:rFonts w:hint="eastAsia"/>
        </w:rPr>
        <w:t>楼层以上的主体结构、围护墙和内隔墙、装修和设备管线等采用预制部品部件的综合比例。</w:t>
      </w:r>
    </w:p>
    <w:p w:rsidR="00512332" w:rsidRDefault="00E80EF5">
      <w:pPr>
        <w:pStyle w:val="4"/>
        <w:spacing w:before="120"/>
      </w:pPr>
      <w:r>
        <w:rPr>
          <w:rFonts w:hint="eastAsia"/>
          <w:b/>
        </w:rPr>
        <w:t>2.0.3</w:t>
      </w:r>
      <w:r>
        <w:rPr>
          <w:rFonts w:hint="eastAsia"/>
        </w:rPr>
        <w:t xml:space="preserve"> </w:t>
      </w:r>
      <w:r>
        <w:rPr>
          <w:rFonts w:hint="eastAsia"/>
        </w:rPr>
        <w:t>预制率</w:t>
      </w:r>
      <w:r>
        <w:rPr>
          <w:rFonts w:hint="eastAsia"/>
        </w:rPr>
        <w:t>Precast ratio of single building</w:t>
      </w:r>
    </w:p>
    <w:p w:rsidR="00512332" w:rsidRDefault="00E80EF5">
      <w:pPr>
        <w:ind w:firstLine="600"/>
      </w:pPr>
      <w:r>
        <w:rPr>
          <w:rFonts w:hint="eastAsia"/>
        </w:rPr>
        <w:t>装配式混凝土建筑单体的基本预制率与附加预制率之和。</w:t>
      </w:r>
    </w:p>
    <w:p w:rsidR="00512332" w:rsidRDefault="00E80EF5">
      <w:pPr>
        <w:pStyle w:val="4"/>
        <w:spacing w:before="120"/>
      </w:pPr>
      <w:r>
        <w:rPr>
          <w:rFonts w:hint="eastAsia"/>
          <w:b/>
        </w:rPr>
        <w:t>2.0.4</w:t>
      </w:r>
      <w:r>
        <w:rPr>
          <w:rFonts w:hint="eastAsia"/>
        </w:rPr>
        <w:t xml:space="preserve"> </w:t>
      </w:r>
      <w:r>
        <w:rPr>
          <w:rFonts w:hint="eastAsia"/>
        </w:rPr>
        <w:t>全装修</w:t>
      </w:r>
      <w:r>
        <w:rPr>
          <w:rFonts w:hint="eastAsia"/>
        </w:rPr>
        <w:t xml:space="preserve"> decorated</w:t>
      </w:r>
    </w:p>
    <w:p w:rsidR="00512332" w:rsidRDefault="00E80EF5">
      <w:pPr>
        <w:ind w:firstLine="600"/>
      </w:pPr>
      <w:r>
        <w:rPr>
          <w:rFonts w:hint="eastAsia"/>
        </w:rPr>
        <w:t>所有功能空间的固定面装修和设备设施安装全部完成，达到建筑使用功能和建筑性能的状态。</w:t>
      </w:r>
    </w:p>
    <w:p w:rsidR="00512332" w:rsidRDefault="00E80EF5">
      <w:pPr>
        <w:pStyle w:val="4"/>
        <w:spacing w:before="120"/>
      </w:pPr>
      <w:r>
        <w:rPr>
          <w:rFonts w:hint="eastAsia"/>
          <w:b/>
        </w:rPr>
        <w:t>2.0.5</w:t>
      </w:r>
      <w:r>
        <w:rPr>
          <w:rFonts w:hint="eastAsia"/>
        </w:rPr>
        <w:t xml:space="preserve">  </w:t>
      </w:r>
      <w:r>
        <w:rPr>
          <w:rFonts w:hint="eastAsia"/>
        </w:rPr>
        <w:t>构件标准化</w:t>
      </w:r>
      <w:r>
        <w:rPr>
          <w:rFonts w:hint="eastAsia"/>
        </w:rPr>
        <w:t xml:space="preserve"> Component standardization</w:t>
      </w:r>
    </w:p>
    <w:p w:rsidR="00512332" w:rsidRDefault="00E80EF5">
      <w:pPr>
        <w:ind w:firstLine="600"/>
      </w:pPr>
      <w:r>
        <w:rPr>
          <w:rFonts w:hint="eastAsia"/>
        </w:rPr>
        <w:t>指装配式混凝土</w:t>
      </w:r>
      <w:r>
        <w:rPr>
          <w:rFonts w:hint="eastAsia"/>
        </w:rPr>
        <w:t>建筑预制构件制作遵循一整套具有适应性的模数以及模数协调原则。设计中据此优化各功能模块的尺寸和种类，使建筑部品、部件实现通用性，最终达到“少规格、多组合”的目的。</w:t>
      </w:r>
    </w:p>
    <w:p w:rsidR="00512332" w:rsidRDefault="00E80EF5">
      <w:pPr>
        <w:pStyle w:val="4"/>
        <w:spacing w:before="120"/>
      </w:pPr>
      <w:r>
        <w:rPr>
          <w:rFonts w:hint="eastAsia"/>
          <w:b/>
        </w:rPr>
        <w:t>2.0.6</w:t>
      </w:r>
      <w:r>
        <w:rPr>
          <w:rFonts w:hint="eastAsia"/>
        </w:rPr>
        <w:t xml:space="preserve"> </w:t>
      </w:r>
      <w:r>
        <w:rPr>
          <w:rFonts w:hint="eastAsia"/>
        </w:rPr>
        <w:t>集成厨房</w:t>
      </w:r>
      <w:r>
        <w:rPr>
          <w:rFonts w:hint="eastAsia"/>
        </w:rPr>
        <w:t xml:space="preserve"> integrated kitchen</w:t>
      </w:r>
    </w:p>
    <w:p w:rsidR="00512332" w:rsidRDefault="00E80EF5">
      <w:pPr>
        <w:ind w:firstLine="600"/>
      </w:pPr>
      <w:r>
        <w:rPr>
          <w:rFonts w:hint="eastAsia"/>
        </w:rPr>
        <w:t>楼面、吊顶、墙面、橱柜、厨房设备及管线等通过设计集成、工厂生产，在工地主要采用干式工法装配而成的厨房。</w:t>
      </w:r>
    </w:p>
    <w:p w:rsidR="00512332" w:rsidRDefault="00E80EF5">
      <w:pPr>
        <w:pStyle w:val="4"/>
        <w:spacing w:before="120"/>
      </w:pPr>
      <w:r>
        <w:rPr>
          <w:rFonts w:hint="eastAsia"/>
          <w:b/>
        </w:rPr>
        <w:t>2.0.7</w:t>
      </w:r>
      <w:r>
        <w:rPr>
          <w:rFonts w:hint="eastAsia"/>
        </w:rPr>
        <w:t xml:space="preserve"> </w:t>
      </w:r>
      <w:r>
        <w:rPr>
          <w:rFonts w:hint="eastAsia"/>
        </w:rPr>
        <w:t>集成卫生间</w:t>
      </w:r>
      <w:r>
        <w:rPr>
          <w:rFonts w:hint="eastAsia"/>
        </w:rPr>
        <w:t xml:space="preserve"> integrated bathroom</w:t>
      </w:r>
    </w:p>
    <w:p w:rsidR="00512332" w:rsidRDefault="00E80EF5">
      <w:r>
        <w:rPr>
          <w:rFonts w:hint="eastAsia"/>
        </w:rPr>
        <w:t xml:space="preserve">    </w:t>
      </w:r>
      <w:r>
        <w:rPr>
          <w:rFonts w:hint="eastAsia"/>
        </w:rPr>
        <w:t>楼面、吊顶、墙面和洁具设备及管线等通过设计集成、工厂生产，在工地主要采用干式工法装配而成的卫生间。</w:t>
      </w:r>
    </w:p>
    <w:p w:rsidR="00512332" w:rsidRDefault="00E80EF5">
      <w:pPr>
        <w:pStyle w:val="4"/>
        <w:spacing w:before="120"/>
      </w:pPr>
      <w:r>
        <w:rPr>
          <w:b/>
        </w:rPr>
        <w:t>2.0.</w:t>
      </w:r>
      <w:r>
        <w:rPr>
          <w:rFonts w:hint="eastAsia"/>
          <w:b/>
        </w:rPr>
        <w:t>8</w:t>
      </w:r>
      <w:r>
        <w:rPr>
          <w:rFonts w:hint="eastAsia"/>
        </w:rPr>
        <w:t xml:space="preserve">  </w:t>
      </w:r>
      <w:r>
        <w:rPr>
          <w:rFonts w:hint="eastAsia"/>
        </w:rPr>
        <w:t>干式工法楼（地）面</w:t>
      </w:r>
      <w:r>
        <w:rPr>
          <w:rFonts w:hint="eastAsia"/>
        </w:rPr>
        <w:t>D</w:t>
      </w:r>
      <w:r>
        <w:t>ecoration</w:t>
      </w:r>
      <w:r>
        <w:rPr>
          <w:rFonts w:hint="eastAsia"/>
        </w:rPr>
        <w:t xml:space="preserve"> </w:t>
      </w:r>
      <w:r>
        <w:t>surface</w:t>
      </w:r>
      <w:r>
        <w:rPr>
          <w:rFonts w:hint="eastAsia"/>
        </w:rPr>
        <w:t xml:space="preserve"> layer</w:t>
      </w:r>
      <w:r>
        <w:t xml:space="preserve"> </w:t>
      </w:r>
      <w:r>
        <w:rPr>
          <w:rFonts w:hint="eastAsia"/>
        </w:rPr>
        <w:t xml:space="preserve">of </w:t>
      </w:r>
      <w:r>
        <w:t>floor (ground)</w:t>
      </w:r>
      <w:r>
        <w:rPr>
          <w:rFonts w:hint="eastAsia"/>
        </w:rPr>
        <w:t xml:space="preserve"> using d</w:t>
      </w:r>
      <w:r>
        <w:t>ry construction</w:t>
      </w:r>
      <w:r>
        <w:rPr>
          <w:rFonts w:hint="eastAsia"/>
        </w:rPr>
        <w:t xml:space="preserve"> method</w:t>
      </w:r>
    </w:p>
    <w:p w:rsidR="00512332" w:rsidRDefault="00E80EF5">
      <w:r>
        <w:rPr>
          <w:rFonts w:hint="eastAsia"/>
        </w:rPr>
        <w:t xml:space="preserve">    </w:t>
      </w:r>
      <w:r>
        <w:rPr>
          <w:rFonts w:hint="eastAsia"/>
        </w:rPr>
        <w:t>采用干作业施工方法装修的楼（地）面装修面层。</w:t>
      </w:r>
    </w:p>
    <w:p w:rsidR="00512332" w:rsidRDefault="00E80EF5">
      <w:pPr>
        <w:pStyle w:val="4"/>
        <w:spacing w:before="120"/>
      </w:pPr>
      <w:r>
        <w:rPr>
          <w:rFonts w:hint="eastAsia"/>
          <w:b/>
        </w:rPr>
        <w:t>2.0.9</w:t>
      </w:r>
      <w:r>
        <w:rPr>
          <w:rFonts w:hint="eastAsia"/>
        </w:rPr>
        <w:t xml:space="preserve">  </w:t>
      </w:r>
      <w:r>
        <w:rPr>
          <w:rFonts w:hint="eastAsia"/>
        </w:rPr>
        <w:t>预制外墙外表面积比</w:t>
      </w:r>
      <w:r>
        <w:rPr>
          <w:rFonts w:hint="eastAsia"/>
        </w:rPr>
        <w:t>Area ratio of precast exterior wall</w:t>
      </w:r>
    </w:p>
    <w:p w:rsidR="00512332" w:rsidRDefault="00E80EF5">
      <w:r>
        <w:rPr>
          <w:rFonts w:hint="eastAsia"/>
        </w:rPr>
        <w:t xml:space="preserve">    </w:t>
      </w:r>
      <w:r>
        <w:rPr>
          <w:rFonts w:hint="eastAsia"/>
        </w:rPr>
        <w:t>装配式混凝土建筑单体预制外墙外表面积占建筑物外墙外表面积的比例。</w:t>
      </w:r>
    </w:p>
    <w:p w:rsidR="00512332" w:rsidRDefault="00512332">
      <w:pPr>
        <w:ind w:firstLine="600"/>
        <w:outlineLvl w:val="3"/>
        <w:sectPr w:rsidR="00512332">
          <w:pgSz w:w="11907" w:h="16839"/>
          <w:pgMar w:top="1440" w:right="1474" w:bottom="1440" w:left="1474" w:header="851" w:footer="992" w:gutter="0"/>
          <w:cols w:space="425"/>
          <w:docGrid w:linePitch="408"/>
        </w:sectPr>
      </w:pPr>
    </w:p>
    <w:p w:rsidR="00512332" w:rsidRDefault="00E80EF5">
      <w:pPr>
        <w:pStyle w:val="2"/>
        <w:spacing w:after="600" w:line="400" w:lineRule="exact"/>
        <w:ind w:firstLine="643"/>
        <w:jc w:val="center"/>
        <w:rPr>
          <w:rFonts w:ascii="Times New Roman" w:eastAsia="宋体" w:hAnsi="Times New Roman"/>
        </w:rPr>
      </w:pPr>
      <w:bookmarkStart w:id="25" w:name="_Toc532848594"/>
      <w:bookmarkStart w:id="26" w:name="_Toc431905670"/>
      <w:bookmarkStart w:id="27" w:name="_Toc532848519"/>
      <w:bookmarkStart w:id="28" w:name="_Toc427495996"/>
      <w:r>
        <w:rPr>
          <w:rFonts w:ascii="Times New Roman" w:eastAsia="宋体" w:hAnsi="Times New Roman"/>
        </w:rPr>
        <w:lastRenderedPageBreak/>
        <w:t xml:space="preserve">3  </w:t>
      </w:r>
      <w:r>
        <w:rPr>
          <w:rFonts w:ascii="Times New Roman" w:eastAsia="宋体" w:hAnsi="Times New Roman"/>
        </w:rPr>
        <w:t>基本规定</w:t>
      </w:r>
      <w:bookmarkEnd w:id="25"/>
      <w:bookmarkEnd w:id="26"/>
      <w:bookmarkEnd w:id="27"/>
      <w:bookmarkEnd w:id="28"/>
    </w:p>
    <w:p w:rsidR="00512332" w:rsidRDefault="00E80EF5">
      <w:pPr>
        <w:pStyle w:val="4"/>
        <w:spacing w:before="120"/>
      </w:pPr>
      <w:r>
        <w:rPr>
          <w:b/>
        </w:rPr>
        <w:t>3.0.1</w:t>
      </w:r>
      <w:r>
        <w:t xml:space="preserve"> </w:t>
      </w:r>
      <w:r>
        <w:t>绿色建筑设计应综合考虑建筑全寿命期的技术与经济特性，</w:t>
      </w:r>
      <w:r>
        <w:t>采用有利于促进建筑与环境可持续发展的场地规划、建筑形式、技术、设备和材料。</w:t>
      </w:r>
    </w:p>
    <w:p w:rsidR="00512332" w:rsidRDefault="00E80EF5">
      <w:pPr>
        <w:pStyle w:val="4"/>
        <w:spacing w:before="120"/>
      </w:pPr>
      <w:r>
        <w:rPr>
          <w:b/>
        </w:rPr>
        <w:t>3.0.2</w:t>
      </w:r>
      <w:r>
        <w:t xml:space="preserve"> </w:t>
      </w:r>
      <w:r>
        <w:t>绿色建筑设计应体现共享、平衡、集成的理念。规划、建筑、结构、给水排水、暖通空调、建筑电气及智能化、景观等专业在建筑设计各阶段均应紧密配合。</w:t>
      </w:r>
    </w:p>
    <w:p w:rsidR="00512332" w:rsidRDefault="00E80EF5">
      <w:pPr>
        <w:pStyle w:val="4"/>
        <w:spacing w:before="120"/>
      </w:pPr>
      <w:r>
        <w:rPr>
          <w:b/>
        </w:rPr>
        <w:t xml:space="preserve">3.0.3 </w:t>
      </w:r>
      <w:r>
        <w:t>绿色建筑设计应遵循因地制宜的原则，结合建筑所在地域的气候、资源、生态环境、经济、人文等特点进行。</w:t>
      </w:r>
    </w:p>
    <w:p w:rsidR="00512332" w:rsidRDefault="00E80EF5">
      <w:pPr>
        <w:pStyle w:val="4"/>
        <w:spacing w:before="120"/>
      </w:pPr>
      <w:r>
        <w:rPr>
          <w:b/>
        </w:rPr>
        <w:t>3.0.4</w:t>
      </w:r>
      <w:r>
        <w:t xml:space="preserve"> </w:t>
      </w:r>
      <w:r>
        <w:t>建筑项目立项阶段应进行绿色建筑设计策划，确定绿色建筑设计总目标及相关指标，指导后续阶段绿色建筑设计。</w:t>
      </w:r>
    </w:p>
    <w:p w:rsidR="00512332" w:rsidRDefault="00E80EF5">
      <w:pPr>
        <w:pStyle w:val="4"/>
        <w:spacing w:before="120"/>
      </w:pPr>
      <w:r>
        <w:rPr>
          <w:b/>
        </w:rPr>
        <w:t xml:space="preserve">3.0.5 </w:t>
      </w:r>
      <w:r>
        <w:t>建筑项目方案设计阶段应根据建筑所在地的能源条件及建筑负荷需求，因地制宜制定可再生能源建筑应用目标及指标。</w:t>
      </w:r>
    </w:p>
    <w:p w:rsidR="00512332" w:rsidRDefault="00E80EF5">
      <w:pPr>
        <w:pStyle w:val="4"/>
        <w:spacing w:before="120"/>
      </w:pPr>
      <w:r>
        <w:rPr>
          <w:b/>
        </w:rPr>
        <w:t xml:space="preserve">3.0.6 </w:t>
      </w:r>
      <w:r>
        <w:t>绿色建筑设计在综合分析适宜性的基础上，宜在设计理念、方法、技术应用等方面进行创新。</w:t>
      </w:r>
    </w:p>
    <w:p w:rsidR="00512332" w:rsidRDefault="00E80EF5">
      <w:pPr>
        <w:pStyle w:val="4"/>
        <w:spacing w:before="120"/>
      </w:pPr>
      <w:r>
        <w:rPr>
          <w:b/>
        </w:rPr>
        <w:t xml:space="preserve">3.0.7 </w:t>
      </w:r>
      <w:r>
        <w:t>建筑设计宜采用建筑信息模型</w:t>
      </w:r>
      <w:r>
        <w:t>(BIM)</w:t>
      </w:r>
      <w:r>
        <w:t>技术。</w:t>
      </w:r>
    </w:p>
    <w:p w:rsidR="00512332" w:rsidRDefault="00E80EF5">
      <w:pPr>
        <w:pStyle w:val="4"/>
        <w:spacing w:before="120"/>
      </w:pPr>
      <w:r>
        <w:rPr>
          <w:rFonts w:hint="eastAsia"/>
          <w:b/>
        </w:rPr>
        <w:t>3.0.1</w:t>
      </w:r>
      <w:r>
        <w:rPr>
          <w:rFonts w:hint="eastAsia"/>
        </w:rPr>
        <w:t xml:space="preserve"> </w:t>
      </w:r>
      <w:r>
        <w:rPr>
          <w:rFonts w:hint="eastAsia"/>
        </w:rPr>
        <w:t>本细则采用装配率和预制率指标评价建筑的装配化程度。</w:t>
      </w:r>
    </w:p>
    <w:p w:rsidR="00512332" w:rsidRDefault="00E80EF5">
      <w:pPr>
        <w:pStyle w:val="4"/>
        <w:spacing w:before="120"/>
      </w:pPr>
      <w:r>
        <w:rPr>
          <w:rFonts w:hint="eastAsia"/>
          <w:b/>
        </w:rPr>
        <w:t>3.0.2</w:t>
      </w:r>
      <w:r>
        <w:rPr>
          <w:rFonts w:hint="eastAsia"/>
        </w:rPr>
        <w:t xml:space="preserve"> </w:t>
      </w:r>
      <w:r>
        <w:rPr>
          <w:rFonts w:hint="eastAsia"/>
        </w:rPr>
        <w:t>装配率计算和装配式建筑计算单元的确定应符合下列规定：</w:t>
      </w:r>
    </w:p>
    <w:p w:rsidR="00512332" w:rsidRDefault="00E80EF5">
      <w:pPr>
        <w:ind w:firstLineChars="189" w:firstLine="567"/>
      </w:pPr>
      <w:r>
        <w:rPr>
          <w:rFonts w:hint="eastAsia"/>
        </w:rPr>
        <w:t xml:space="preserve">1 </w:t>
      </w:r>
      <w:r>
        <w:rPr>
          <w:rFonts w:hint="eastAsia"/>
        </w:rPr>
        <w:t>装配率计算和装配式建筑计算单元应为单体建筑，单体建筑应按项目规划批准文件的建筑编号确认；</w:t>
      </w:r>
    </w:p>
    <w:p w:rsidR="00512332" w:rsidRDefault="00E80EF5">
      <w:pPr>
        <w:ind w:firstLineChars="189" w:firstLine="567"/>
      </w:pPr>
      <w:r>
        <w:rPr>
          <w:rFonts w:hint="eastAsia"/>
        </w:rPr>
        <w:t xml:space="preserve">2 </w:t>
      </w:r>
      <w:r>
        <w:rPr>
          <w:rFonts w:hint="eastAsia"/>
        </w:rPr>
        <w:t>单体建筑由主楼和裙房组成时</w:t>
      </w:r>
      <w:r>
        <w:rPr>
          <w:rFonts w:hint="eastAsia"/>
        </w:rPr>
        <w:t>，主楼和裙房可作为不同的计算和装配式建筑计算单元；</w:t>
      </w:r>
      <w:r>
        <w:rPr>
          <w:rFonts w:hint="eastAsia"/>
        </w:rPr>
        <w:t xml:space="preserve"> </w:t>
      </w:r>
    </w:p>
    <w:p w:rsidR="00512332" w:rsidRDefault="00E80EF5">
      <w:pPr>
        <w:ind w:firstLineChars="189" w:firstLine="567"/>
      </w:pPr>
      <w:r>
        <w:rPr>
          <w:rFonts w:hint="eastAsia"/>
        </w:rPr>
        <w:t xml:space="preserve">3 </w:t>
      </w:r>
      <w:r>
        <w:rPr>
          <w:rFonts w:hint="eastAsia"/>
        </w:rPr>
        <w:t>评价单元尚应满足国家、省标准规范要求及宁波市相关规定。</w:t>
      </w:r>
    </w:p>
    <w:p w:rsidR="00512332" w:rsidRDefault="00E80EF5">
      <w:pPr>
        <w:pStyle w:val="4"/>
        <w:spacing w:before="120"/>
      </w:pPr>
      <w:r>
        <w:rPr>
          <w:rFonts w:hint="eastAsia"/>
          <w:b/>
        </w:rPr>
        <w:t>3.0.3</w:t>
      </w:r>
      <w:r>
        <w:rPr>
          <w:rFonts w:hint="eastAsia"/>
        </w:rPr>
        <w:t>确定设计阶段单体建筑为装配式建筑，应满足下列要求之一：</w:t>
      </w:r>
    </w:p>
    <w:p w:rsidR="00512332" w:rsidRDefault="00E80EF5">
      <w:pPr>
        <w:ind w:firstLineChars="189" w:firstLine="567"/>
      </w:pPr>
      <w:r>
        <w:rPr>
          <w:rFonts w:hint="eastAsia"/>
        </w:rPr>
        <w:t xml:space="preserve">1 </w:t>
      </w:r>
      <w:r>
        <w:rPr>
          <w:rFonts w:hint="eastAsia"/>
        </w:rPr>
        <w:t>装配式钢结构建筑应满足装配率要求；</w:t>
      </w:r>
      <w:r>
        <w:rPr>
          <w:rFonts w:hint="eastAsia"/>
        </w:rPr>
        <w:t xml:space="preserve"> </w:t>
      </w:r>
    </w:p>
    <w:p w:rsidR="00512332" w:rsidRDefault="00E80EF5">
      <w:pPr>
        <w:ind w:firstLineChars="189" w:firstLine="567"/>
      </w:pPr>
      <w:r>
        <w:rPr>
          <w:rFonts w:hint="eastAsia"/>
        </w:rPr>
        <w:t xml:space="preserve">2 </w:t>
      </w:r>
      <w:r>
        <w:rPr>
          <w:rFonts w:hint="eastAsia"/>
        </w:rPr>
        <w:t>装配式混凝土建筑应满足装配率和预制率要求。</w:t>
      </w:r>
      <w:r>
        <w:rPr>
          <w:rFonts w:hint="eastAsia"/>
        </w:rPr>
        <w:t xml:space="preserve"> </w:t>
      </w:r>
    </w:p>
    <w:p w:rsidR="00512332" w:rsidRDefault="00E80EF5">
      <w:pPr>
        <w:ind w:firstLineChars="189" w:firstLine="567"/>
      </w:pPr>
      <w:r>
        <w:rPr>
          <w:rFonts w:hint="eastAsia"/>
        </w:rPr>
        <w:t>其中公共建筑装配率不低于</w:t>
      </w:r>
      <w:r>
        <w:rPr>
          <w:rFonts w:hint="eastAsia"/>
        </w:rPr>
        <w:t>60</w:t>
      </w:r>
      <w:r>
        <w:rPr>
          <w:rFonts w:hint="eastAsia"/>
        </w:rPr>
        <w:t>％，居住建筑装配率不低于</w:t>
      </w:r>
      <w:r>
        <w:rPr>
          <w:rFonts w:hint="eastAsia"/>
        </w:rPr>
        <w:t>50</w:t>
      </w:r>
      <w:r>
        <w:rPr>
          <w:rFonts w:hint="eastAsia"/>
        </w:rPr>
        <w:t>％；预制率满足宁波市地方规定最低要求。</w:t>
      </w:r>
    </w:p>
    <w:p w:rsidR="00512332" w:rsidRDefault="00E80EF5">
      <w:pPr>
        <w:pStyle w:val="4"/>
        <w:spacing w:before="120"/>
      </w:pPr>
      <w:r>
        <w:rPr>
          <w:rFonts w:hint="eastAsia"/>
          <w:b/>
        </w:rPr>
        <w:t>3.0.4</w:t>
      </w:r>
      <w:r>
        <w:rPr>
          <w:rFonts w:hint="eastAsia"/>
        </w:rPr>
        <w:t xml:space="preserve"> </w:t>
      </w:r>
      <w:r>
        <w:rPr>
          <w:rFonts w:hint="eastAsia"/>
        </w:rPr>
        <w:t>单体建筑面积超过</w:t>
      </w:r>
      <w:r>
        <w:rPr>
          <w:rFonts w:hint="eastAsia"/>
        </w:rPr>
        <w:t>2</w:t>
      </w:r>
      <w:r>
        <w:rPr>
          <w:rFonts w:hint="eastAsia"/>
        </w:rPr>
        <w:t>万平方米的大型公共建筑优先采用装配式</w:t>
      </w:r>
      <w:r>
        <w:rPr>
          <w:rFonts w:hint="eastAsia"/>
        </w:rPr>
        <w:lastRenderedPageBreak/>
        <w:t>钢结构，居住建筑宜采用装配式钢结构。</w:t>
      </w:r>
    </w:p>
    <w:p w:rsidR="00512332" w:rsidRDefault="00E80EF5">
      <w:pPr>
        <w:pStyle w:val="4"/>
        <w:spacing w:before="120"/>
      </w:pPr>
      <w:r>
        <w:rPr>
          <w:rFonts w:hint="eastAsia"/>
          <w:b/>
        </w:rPr>
        <w:t>3.0.5</w:t>
      </w:r>
      <w:r>
        <w:rPr>
          <w:rFonts w:hint="eastAsia"/>
        </w:rPr>
        <w:t xml:space="preserve"> </w:t>
      </w:r>
      <w:r>
        <w:rPr>
          <w:rFonts w:hint="eastAsia"/>
        </w:rPr>
        <w:t>装配式建筑宜采用装配式装修。</w:t>
      </w:r>
    </w:p>
    <w:p w:rsidR="00512332" w:rsidRDefault="00E80EF5">
      <w:pPr>
        <w:pStyle w:val="4"/>
        <w:spacing w:before="120"/>
      </w:pPr>
      <w:r>
        <w:rPr>
          <w:rFonts w:hint="eastAsia"/>
          <w:b/>
        </w:rPr>
        <w:t>3.0.6</w:t>
      </w:r>
      <w:r>
        <w:rPr>
          <w:rFonts w:hint="eastAsia"/>
        </w:rPr>
        <w:t>预制构件的拆分设计应符合标准化、系列化、模数化的要求，满足建筑立面效果、制作工艺、运输及施工安装的条件，并保证预制构件受力的合理性及生产安装的简便性。</w:t>
      </w:r>
    </w:p>
    <w:p w:rsidR="00512332" w:rsidRDefault="00E80EF5">
      <w:pPr>
        <w:pStyle w:val="4"/>
        <w:spacing w:before="120"/>
      </w:pPr>
      <w:r>
        <w:rPr>
          <w:rFonts w:hint="eastAsia"/>
          <w:b/>
        </w:rPr>
        <w:t>3.0.7</w:t>
      </w:r>
      <w:r>
        <w:rPr>
          <w:rFonts w:hint="eastAsia"/>
        </w:rPr>
        <w:t>预制外墙系统应根据不同的建筑类型及结构形式选择适宜的系统类型，预制外墙板可采用内嵌式、外挂式、嵌挂结合等形式。</w:t>
      </w:r>
    </w:p>
    <w:p w:rsidR="00512332" w:rsidRDefault="00E80EF5">
      <w:pPr>
        <w:pStyle w:val="4"/>
        <w:spacing w:before="120"/>
      </w:pPr>
      <w:r>
        <w:rPr>
          <w:rFonts w:hint="eastAsia"/>
          <w:b/>
        </w:rPr>
        <w:t>3.0.8</w:t>
      </w:r>
      <w:r>
        <w:rPr>
          <w:rFonts w:hint="eastAsia"/>
        </w:rPr>
        <w:t xml:space="preserve"> </w:t>
      </w:r>
      <w:r>
        <w:rPr>
          <w:rFonts w:hint="eastAsia"/>
        </w:rPr>
        <w:t>预制外墙的拆分设计应符合标准化、系列化、模数化的要求，满足建筑立面效果、制作工艺、运输及施工安装的条件，并保证预制构件受力的合理性及生产安装的简便性。</w:t>
      </w:r>
    </w:p>
    <w:p w:rsidR="00512332" w:rsidRDefault="00512332">
      <w:pPr>
        <w:ind w:firstLine="600"/>
        <w:rPr>
          <w:szCs w:val="28"/>
        </w:rPr>
        <w:sectPr w:rsidR="00512332">
          <w:pgSz w:w="11906" w:h="16838"/>
          <w:pgMar w:top="1440" w:right="1474" w:bottom="1440" w:left="1474" w:header="851" w:footer="992" w:gutter="0"/>
          <w:cols w:space="425"/>
          <w:docGrid w:linePitch="312"/>
        </w:sectPr>
      </w:pPr>
    </w:p>
    <w:p w:rsidR="00512332" w:rsidRDefault="00E80EF5">
      <w:pPr>
        <w:pStyle w:val="2"/>
        <w:spacing w:after="600" w:line="400" w:lineRule="exact"/>
        <w:ind w:firstLine="643"/>
        <w:jc w:val="center"/>
        <w:rPr>
          <w:rFonts w:ascii="Times New Roman" w:eastAsia="宋体" w:hAnsi="Times New Roman"/>
        </w:rPr>
      </w:pPr>
      <w:bookmarkStart w:id="29" w:name="_Toc427495997"/>
      <w:bookmarkStart w:id="30" w:name="_Toc431905671"/>
      <w:bookmarkStart w:id="31" w:name="_Toc532848595"/>
      <w:bookmarkStart w:id="32" w:name="_Toc532848520"/>
      <w:r>
        <w:rPr>
          <w:rFonts w:ascii="Times New Roman" w:eastAsia="宋体" w:hAnsi="Times New Roman"/>
        </w:rPr>
        <w:lastRenderedPageBreak/>
        <w:t xml:space="preserve">4  </w:t>
      </w:r>
      <w:bookmarkEnd w:id="29"/>
      <w:bookmarkEnd w:id="30"/>
      <w:r>
        <w:rPr>
          <w:rFonts w:ascii="Times New Roman" w:eastAsia="宋体" w:hAnsi="Times New Roman" w:hint="eastAsia"/>
        </w:rPr>
        <w:t>装配率与预制率计算</w:t>
      </w:r>
      <w:bookmarkEnd w:id="31"/>
      <w:bookmarkEnd w:id="32"/>
    </w:p>
    <w:p w:rsidR="00512332" w:rsidRDefault="00E80EF5">
      <w:pPr>
        <w:pStyle w:val="3"/>
        <w:spacing w:before="600" w:line="400" w:lineRule="exact"/>
        <w:ind w:firstLine="642"/>
        <w:jc w:val="center"/>
        <w:rPr>
          <w:szCs w:val="28"/>
        </w:rPr>
      </w:pPr>
      <w:bookmarkStart w:id="33" w:name="_Toc431905672"/>
      <w:bookmarkStart w:id="34" w:name="_Toc532848596"/>
      <w:bookmarkStart w:id="35" w:name="_Toc532848521"/>
      <w:r>
        <w:rPr>
          <w:szCs w:val="28"/>
        </w:rPr>
        <w:t>4.1</w:t>
      </w:r>
      <w:r>
        <w:rPr>
          <w:rFonts w:hint="eastAsia"/>
          <w:szCs w:val="28"/>
        </w:rPr>
        <w:t>装配率计算</w:t>
      </w:r>
      <w:bookmarkEnd w:id="33"/>
      <w:bookmarkEnd w:id="34"/>
      <w:bookmarkEnd w:id="35"/>
    </w:p>
    <w:p w:rsidR="00512332" w:rsidRDefault="00E80EF5">
      <w:pPr>
        <w:pStyle w:val="4"/>
        <w:spacing w:before="120"/>
      </w:pPr>
      <w:r>
        <w:rPr>
          <w:rFonts w:hint="eastAsia"/>
          <w:b/>
        </w:rPr>
        <w:t xml:space="preserve">4.1.1  </w:t>
      </w:r>
      <w:r>
        <w:rPr>
          <w:rFonts w:hint="eastAsia"/>
        </w:rPr>
        <w:t>装配率计算应根据表</w:t>
      </w:r>
      <w:r>
        <w:rPr>
          <w:rFonts w:hint="eastAsia"/>
        </w:rPr>
        <w:t>4.1.1</w:t>
      </w:r>
      <w:r>
        <w:rPr>
          <w:rFonts w:hint="eastAsia"/>
        </w:rPr>
        <w:t>中评价项分值按下式计算：</w:t>
      </w:r>
    </w:p>
    <w:p w:rsidR="00512332" w:rsidRDefault="00512332">
      <w:pPr>
        <w:pStyle w:val="af2"/>
        <w:shd w:val="clear" w:color="auto" w:fill="FFFFFF"/>
        <w:adjustRightInd w:val="0"/>
        <w:snapToGrid w:val="0"/>
        <w:spacing w:before="0" w:beforeAutospacing="0" w:after="0" w:afterAutospacing="0" w:line="240" w:lineRule="auto"/>
        <w:jc w:val="center"/>
        <w:rPr>
          <w:rStyle w:val="4Char"/>
        </w:rPr>
      </w:pPr>
      <w:r w:rsidRPr="00512332">
        <w:rPr>
          <w:rFonts w:asciiTheme="minorEastAsia" w:eastAsiaTheme="minorEastAsia" w:hAnsiTheme="minorEastAsia"/>
          <w:color w:val="000000" w:themeColor="text1"/>
          <w:position w:val="-27"/>
        </w:rPr>
        <w:object w:dxaOrig="2789" w:dyaOrig="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0.75pt" o:ole="">
            <v:imagedata r:id="rId13" o:title=""/>
          </v:shape>
          <o:OLEObject Type="Embed" ProgID="Equation.AxMath" ShapeID="_x0000_i1025" DrawAspect="Content" ObjectID="_1606634820" r:id="rId14"/>
        </w:object>
      </w:r>
      <w:r w:rsidR="00E80EF5">
        <w:rPr>
          <w:rFonts w:asciiTheme="minorEastAsia" w:eastAsiaTheme="minorEastAsia" w:hAnsiTheme="minorEastAsia" w:hint="eastAsia"/>
          <w:color w:val="000000"/>
          <w:sz w:val="21"/>
          <w:szCs w:val="21"/>
        </w:rPr>
        <w:t xml:space="preserve">            </w:t>
      </w:r>
      <w:r w:rsidR="00E80EF5">
        <w:rPr>
          <w:rStyle w:val="4Char"/>
          <w:rFonts w:hint="eastAsia"/>
        </w:rPr>
        <w:t>（</w:t>
      </w:r>
      <w:r w:rsidR="00E80EF5">
        <w:rPr>
          <w:rStyle w:val="4Char"/>
          <w:rFonts w:hint="eastAsia"/>
        </w:rPr>
        <w:t>4.1.1</w:t>
      </w:r>
      <w:r w:rsidR="00E80EF5">
        <w:rPr>
          <w:rStyle w:val="4Char"/>
          <w:rFonts w:hint="eastAsia"/>
        </w:rPr>
        <w:t>）</w:t>
      </w:r>
    </w:p>
    <w:tbl>
      <w:tblPr>
        <w:tblW w:w="9459" w:type="dxa"/>
        <w:tblLayout w:type="fixed"/>
        <w:tblLook w:val="04A0"/>
      </w:tblPr>
      <w:tblGrid>
        <w:gridCol w:w="1101"/>
        <w:gridCol w:w="456"/>
        <w:gridCol w:w="816"/>
        <w:gridCol w:w="7086"/>
      </w:tblGrid>
      <w:tr w:rsidR="00512332">
        <w:trPr>
          <w:trHeight w:val="340"/>
        </w:trPr>
        <w:tc>
          <w:tcPr>
            <w:tcW w:w="1101"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456" w:type="dxa"/>
            <w:vAlign w:val="center"/>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240" w:dyaOrig="359">
                <v:shape id="_x0000_i1026" type="#_x0000_t75" style="width:9pt;height:14.25pt" o:ole="">
                  <v:imagedata r:id="rId15" o:title=""/>
                </v:shape>
                <o:OLEObject Type="Embed" ProgID="Equation.AxMath" ShapeID="_x0000_i1026" DrawAspect="Content" ObjectID="_1606634821" r:id="rId16"/>
              </w:object>
            </w:r>
          </w:p>
        </w:tc>
        <w:tc>
          <w:tcPr>
            <w:tcW w:w="816"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86" w:type="dxa"/>
            <w:vAlign w:val="center"/>
          </w:tcPr>
          <w:p w:rsidR="00512332" w:rsidRDefault="00E80EF5">
            <w:pPr>
              <w:rPr>
                <w:rFonts w:asciiTheme="minorEastAsia" w:eastAsiaTheme="minorEastAsia" w:hAnsiTheme="minorEastAsia"/>
              </w:rPr>
            </w:pPr>
            <w:r>
              <w:rPr>
                <w:rFonts w:asciiTheme="minorEastAsia" w:eastAsiaTheme="minorEastAsia" w:hAnsiTheme="minorEastAsia" w:hint="eastAsia"/>
              </w:rPr>
              <w:t>装配率；</w:t>
            </w:r>
          </w:p>
        </w:tc>
      </w:tr>
      <w:tr w:rsidR="00512332">
        <w:trPr>
          <w:trHeight w:val="340"/>
        </w:trPr>
        <w:tc>
          <w:tcPr>
            <w:tcW w:w="1101" w:type="dxa"/>
            <w:vAlign w:val="center"/>
          </w:tcPr>
          <w:p w:rsidR="00512332" w:rsidRDefault="00512332">
            <w:pPr>
              <w:rPr>
                <w:rFonts w:asciiTheme="minorEastAsia" w:eastAsiaTheme="minorEastAsia" w:hAnsiTheme="minorEastAsia"/>
                <w:color w:val="000000" w:themeColor="text1"/>
              </w:rPr>
            </w:pPr>
          </w:p>
        </w:tc>
        <w:tc>
          <w:tcPr>
            <w:tcW w:w="456" w:type="dxa"/>
            <w:vAlign w:val="center"/>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281" w:dyaOrig="362">
                <v:shape id="_x0000_i1027" type="#_x0000_t75" style="width:10.5pt;height:14.25pt" o:ole="">
                  <v:imagedata r:id="rId17" o:title=""/>
                </v:shape>
                <o:OLEObject Type="Embed" ProgID="Equation.AxMath" ShapeID="_x0000_i1027" DrawAspect="Content" ObjectID="_1606634822" r:id="rId18"/>
              </w:object>
            </w:r>
          </w:p>
        </w:tc>
        <w:tc>
          <w:tcPr>
            <w:tcW w:w="816"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86" w:type="dxa"/>
            <w:vAlign w:val="center"/>
          </w:tcPr>
          <w:p w:rsidR="00512332" w:rsidRDefault="00E80EF5">
            <w:pPr>
              <w:rPr>
                <w:rFonts w:asciiTheme="minorEastAsia" w:eastAsiaTheme="minorEastAsia" w:hAnsiTheme="minorEastAsia"/>
              </w:rPr>
            </w:pPr>
            <w:r>
              <w:rPr>
                <w:rFonts w:asciiTheme="minorEastAsia" w:eastAsiaTheme="minorEastAsia" w:hAnsiTheme="minorEastAsia" w:hint="eastAsia"/>
              </w:rPr>
              <w:t>主体结构指标实际得分值；</w:t>
            </w:r>
          </w:p>
        </w:tc>
      </w:tr>
      <w:tr w:rsidR="00512332">
        <w:trPr>
          <w:trHeight w:val="340"/>
        </w:trPr>
        <w:tc>
          <w:tcPr>
            <w:tcW w:w="1101" w:type="dxa"/>
            <w:vAlign w:val="center"/>
          </w:tcPr>
          <w:p w:rsidR="00512332" w:rsidRDefault="00512332">
            <w:pPr>
              <w:rPr>
                <w:rFonts w:asciiTheme="minorEastAsia" w:eastAsiaTheme="minorEastAsia" w:hAnsiTheme="minorEastAsia"/>
                <w:color w:val="000000" w:themeColor="text1"/>
              </w:rPr>
            </w:pPr>
          </w:p>
        </w:tc>
        <w:tc>
          <w:tcPr>
            <w:tcW w:w="456" w:type="dxa"/>
            <w:vAlign w:val="center"/>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08" w:dyaOrig="362">
                <v:shape id="_x0000_i1028" type="#_x0000_t75" style="width:12pt;height:14.25pt" o:ole="">
                  <v:imagedata r:id="rId19" o:title=""/>
                </v:shape>
                <o:OLEObject Type="Embed" ProgID="Equation.AxMath" ShapeID="_x0000_i1028" DrawAspect="Content" ObjectID="_1606634823" r:id="rId20"/>
              </w:object>
            </w:r>
          </w:p>
        </w:tc>
        <w:tc>
          <w:tcPr>
            <w:tcW w:w="816"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86" w:type="dxa"/>
            <w:vAlign w:val="center"/>
          </w:tcPr>
          <w:p w:rsidR="00512332" w:rsidRDefault="00E80EF5">
            <w:pPr>
              <w:rPr>
                <w:rFonts w:asciiTheme="minorEastAsia" w:eastAsiaTheme="minorEastAsia" w:hAnsiTheme="minorEastAsia"/>
              </w:rPr>
            </w:pPr>
            <w:r>
              <w:rPr>
                <w:rFonts w:asciiTheme="minorEastAsia" w:eastAsiaTheme="minorEastAsia" w:hAnsiTheme="minorEastAsia" w:hint="eastAsia"/>
              </w:rPr>
              <w:t>围护墙和内隔墙指标实际得分值；</w:t>
            </w:r>
          </w:p>
        </w:tc>
      </w:tr>
      <w:tr w:rsidR="00512332">
        <w:trPr>
          <w:trHeight w:val="340"/>
        </w:trPr>
        <w:tc>
          <w:tcPr>
            <w:tcW w:w="1101" w:type="dxa"/>
            <w:vAlign w:val="center"/>
          </w:tcPr>
          <w:p w:rsidR="00512332" w:rsidRDefault="00512332">
            <w:pPr>
              <w:rPr>
                <w:rFonts w:asciiTheme="minorEastAsia" w:eastAsiaTheme="minorEastAsia" w:hAnsiTheme="minorEastAsia"/>
                <w:color w:val="000000" w:themeColor="text1"/>
              </w:rPr>
            </w:pPr>
          </w:p>
        </w:tc>
        <w:tc>
          <w:tcPr>
            <w:tcW w:w="456" w:type="dxa"/>
            <w:vAlign w:val="center"/>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2"/>
              </w:rPr>
              <w:object w:dxaOrig="298" w:dyaOrig="362">
                <v:shape id="_x0000_i1029" type="#_x0000_t75" style="width:11.25pt;height:14.25pt" o:ole="">
                  <v:imagedata r:id="rId21" o:title=""/>
                </v:shape>
                <o:OLEObject Type="Embed" ProgID="Equation.AxMath" ShapeID="_x0000_i1029" DrawAspect="Content" ObjectID="_1606634824" r:id="rId22"/>
              </w:object>
            </w:r>
          </w:p>
        </w:tc>
        <w:tc>
          <w:tcPr>
            <w:tcW w:w="816"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86" w:type="dxa"/>
            <w:vAlign w:val="center"/>
          </w:tcPr>
          <w:p w:rsidR="00512332" w:rsidRDefault="00E80EF5">
            <w:pPr>
              <w:rPr>
                <w:rFonts w:asciiTheme="minorEastAsia" w:eastAsiaTheme="minorEastAsia" w:hAnsiTheme="minorEastAsia"/>
              </w:rPr>
            </w:pPr>
            <w:r>
              <w:rPr>
                <w:rFonts w:asciiTheme="minorEastAsia" w:eastAsiaTheme="minorEastAsia" w:hAnsiTheme="minorEastAsia" w:hint="eastAsia"/>
              </w:rPr>
              <w:t>装修和设备管线指标实际得分值；</w:t>
            </w:r>
          </w:p>
        </w:tc>
      </w:tr>
      <w:tr w:rsidR="00512332">
        <w:trPr>
          <w:trHeight w:val="340"/>
        </w:trPr>
        <w:tc>
          <w:tcPr>
            <w:tcW w:w="1101" w:type="dxa"/>
            <w:vAlign w:val="center"/>
          </w:tcPr>
          <w:p w:rsidR="00512332" w:rsidRDefault="00512332">
            <w:pPr>
              <w:rPr>
                <w:rFonts w:asciiTheme="minorEastAsia" w:eastAsiaTheme="minorEastAsia" w:hAnsiTheme="minorEastAsia"/>
                <w:color w:val="000000" w:themeColor="text1"/>
              </w:rPr>
            </w:pPr>
          </w:p>
        </w:tc>
        <w:tc>
          <w:tcPr>
            <w:tcW w:w="456" w:type="dxa"/>
            <w:vAlign w:val="center"/>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2"/>
              </w:rPr>
              <w:object w:dxaOrig="310" w:dyaOrig="362">
                <v:shape id="_x0000_i1030" type="#_x0000_t75" style="width:12pt;height:14.25pt" o:ole="">
                  <v:imagedata r:id="rId23" o:title=""/>
                </v:shape>
                <o:OLEObject Type="Embed" ProgID="Equation.AxMath" ShapeID="_x0000_i1030" DrawAspect="Content" ObjectID="_1606634825" r:id="rId24"/>
              </w:object>
            </w:r>
          </w:p>
        </w:tc>
        <w:tc>
          <w:tcPr>
            <w:tcW w:w="816"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86" w:type="dxa"/>
            <w:vAlign w:val="center"/>
          </w:tcPr>
          <w:p w:rsidR="00512332" w:rsidRDefault="00E80EF5">
            <w:pPr>
              <w:rPr>
                <w:rFonts w:asciiTheme="minorEastAsia" w:eastAsiaTheme="minorEastAsia" w:hAnsiTheme="minorEastAsia"/>
              </w:rPr>
            </w:pPr>
            <w:r>
              <w:rPr>
                <w:rFonts w:asciiTheme="minorEastAsia" w:eastAsiaTheme="minorEastAsia" w:hAnsiTheme="minorEastAsia" w:hint="eastAsia"/>
              </w:rPr>
              <w:t>评价项目中缺少的评价项分值总和。</w:t>
            </w:r>
          </w:p>
        </w:tc>
      </w:tr>
    </w:tbl>
    <w:p w:rsidR="00512332" w:rsidRDefault="00E80EF5">
      <w:pPr>
        <w:jc w:val="center"/>
        <w:rPr>
          <w:rStyle w:val="af4"/>
          <w:rFonts w:eastAsia="黑体"/>
          <w:b w:val="0"/>
          <w:color w:val="000000" w:themeColor="text1"/>
          <w:sz w:val="28"/>
          <w:szCs w:val="28"/>
        </w:rPr>
      </w:pPr>
      <w:r>
        <w:rPr>
          <w:rStyle w:val="af4"/>
          <w:rFonts w:eastAsia="黑体"/>
          <w:color w:val="000000" w:themeColor="text1"/>
          <w:sz w:val="28"/>
          <w:szCs w:val="28"/>
        </w:rPr>
        <w:t>表</w:t>
      </w:r>
      <w:r>
        <w:rPr>
          <w:rStyle w:val="af4"/>
          <w:rFonts w:eastAsia="黑体" w:hint="eastAsia"/>
          <w:color w:val="000000" w:themeColor="text1"/>
          <w:sz w:val="28"/>
          <w:szCs w:val="28"/>
        </w:rPr>
        <w:t>4.1.1</w:t>
      </w:r>
      <w:r>
        <w:rPr>
          <w:rStyle w:val="af4"/>
          <w:rFonts w:eastAsia="黑体"/>
          <w:color w:val="000000" w:themeColor="text1"/>
          <w:sz w:val="28"/>
          <w:szCs w:val="28"/>
        </w:rPr>
        <w:t>装配式建筑</w:t>
      </w:r>
      <w:r>
        <w:rPr>
          <w:rStyle w:val="af4"/>
          <w:rFonts w:eastAsia="黑体" w:hint="eastAsia"/>
          <w:color w:val="000000" w:themeColor="text1"/>
          <w:sz w:val="28"/>
          <w:szCs w:val="28"/>
        </w:rPr>
        <w:t>装配率</w:t>
      </w:r>
      <w:r>
        <w:rPr>
          <w:rStyle w:val="af4"/>
          <w:rFonts w:eastAsia="黑体"/>
          <w:color w:val="000000" w:themeColor="text1"/>
          <w:sz w:val="28"/>
          <w:szCs w:val="28"/>
        </w:rPr>
        <w:t>评分表</w:t>
      </w:r>
    </w:p>
    <w:tbl>
      <w:tblPr>
        <w:tblW w:w="9677" w:type="dxa"/>
        <w:jc w:val="center"/>
        <w:tblInd w:w="-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1"/>
        <w:gridCol w:w="1292"/>
        <w:gridCol w:w="3460"/>
        <w:gridCol w:w="1562"/>
        <w:gridCol w:w="1367"/>
        <w:gridCol w:w="1005"/>
      </w:tblGrid>
      <w:tr w:rsidR="00512332">
        <w:trPr>
          <w:trHeight w:val="397"/>
          <w:jc w:val="center"/>
        </w:trPr>
        <w:tc>
          <w:tcPr>
            <w:tcW w:w="5743" w:type="dxa"/>
            <w:gridSpan w:val="3"/>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评价项</w:t>
            </w:r>
          </w:p>
        </w:tc>
        <w:tc>
          <w:tcPr>
            <w:tcW w:w="1562" w:type="dxa"/>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评价要求</w:t>
            </w:r>
          </w:p>
        </w:tc>
        <w:tc>
          <w:tcPr>
            <w:tcW w:w="1367" w:type="dxa"/>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评价分值</w:t>
            </w:r>
          </w:p>
        </w:tc>
        <w:tc>
          <w:tcPr>
            <w:tcW w:w="1005" w:type="dxa"/>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最低分值</w:t>
            </w:r>
          </w:p>
        </w:tc>
      </w:tr>
      <w:tr w:rsidR="00512332">
        <w:trPr>
          <w:trHeight w:val="397"/>
          <w:jc w:val="center"/>
        </w:trPr>
        <w:tc>
          <w:tcPr>
            <w:tcW w:w="991" w:type="dxa"/>
            <w:vMerge w:val="restart"/>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主体结构</w:t>
            </w:r>
          </w:p>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w:t>
            </w:r>
            <w:r w:rsidR="00512332" w:rsidRPr="00512332">
              <w:rPr>
                <w:rFonts w:ascii="Times New Roman" w:eastAsiaTheme="minorEastAsia" w:hAnsi="Times New Roman" w:cs="Times New Roman"/>
                <w:color w:val="000000" w:themeColor="text1"/>
                <w:position w:val="-12"/>
                <w:sz w:val="28"/>
                <w:szCs w:val="28"/>
              </w:rPr>
              <w:object w:dxaOrig="281" w:dyaOrig="362">
                <v:shape id="_x0000_i1031" type="#_x0000_t75" style="width:10.5pt;height:14.25pt" o:ole="">
                  <v:imagedata r:id="rId17" o:title=""/>
                </v:shape>
                <o:OLEObject Type="Embed" ProgID="Equation.AxMath" ShapeID="_x0000_i1031" DrawAspect="Content" ObjectID="_1606634826" r:id="rId25"/>
              </w:object>
            </w:r>
            <w:r>
              <w:rPr>
                <w:rFonts w:ascii="Times New Roman" w:eastAsiaTheme="minorEastAsia" w:hAnsiTheme="minorEastAsia" w:cs="Times New Roman"/>
                <w:color w:val="000000" w:themeColor="text1"/>
                <w:sz w:val="28"/>
                <w:szCs w:val="28"/>
              </w:rPr>
              <w:t>）</w:t>
            </w:r>
          </w:p>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w:t>
            </w:r>
            <w:r>
              <w:rPr>
                <w:rFonts w:ascii="Times New Roman" w:eastAsiaTheme="minorEastAsia" w:hAnsi="Times New Roman" w:cs="Times New Roman"/>
                <w:color w:val="000000" w:themeColor="text1"/>
                <w:sz w:val="28"/>
                <w:szCs w:val="28"/>
              </w:rPr>
              <w:t>50</w:t>
            </w:r>
            <w:r>
              <w:rPr>
                <w:rFonts w:ascii="Times New Roman" w:eastAsiaTheme="minorEastAsia" w:hAnsiTheme="minorEastAsia" w:cs="Times New Roman"/>
                <w:color w:val="000000" w:themeColor="text1"/>
                <w:sz w:val="28"/>
                <w:szCs w:val="28"/>
              </w:rPr>
              <w:t>分）</w:t>
            </w:r>
          </w:p>
        </w:tc>
        <w:tc>
          <w:tcPr>
            <w:tcW w:w="1292" w:type="dxa"/>
            <w:vMerge w:val="restart"/>
            <w:vAlign w:val="center"/>
          </w:tcPr>
          <w:p w:rsidR="00512332" w:rsidRDefault="00E80EF5">
            <w:pPr>
              <w:pStyle w:val="af2"/>
              <w:snapToGrid w:val="0"/>
              <w:spacing w:before="0" w:beforeAutospacing="0" w:after="0" w:afterAutospacing="0" w:line="320" w:lineRule="exact"/>
              <w:ind w:rightChars="-50" w:right="-15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柱、支撑、承重墙、延性墙板等竖向构件</w:t>
            </w: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应用预制部品部件</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35%</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30*</w:t>
            </w:r>
          </w:p>
        </w:tc>
        <w:tc>
          <w:tcPr>
            <w:tcW w:w="1005"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w:t>
            </w: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现场采用高精度模板</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90%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10*</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646"/>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现场应用成型钢筋</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70%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水平构件</w:t>
            </w: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梁、板、阳台、空调板构件</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10</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20*</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楼梯</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5*</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567"/>
          <w:jc w:val="center"/>
        </w:trPr>
        <w:tc>
          <w:tcPr>
            <w:tcW w:w="991" w:type="dxa"/>
            <w:vMerge w:val="restart"/>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围护墙和内隔墙</w:t>
            </w:r>
          </w:p>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w:t>
            </w:r>
            <w:r w:rsidR="00512332" w:rsidRPr="00512332">
              <w:rPr>
                <w:rFonts w:ascii="Times New Roman" w:eastAsiaTheme="minorEastAsia" w:hAnsi="Times New Roman" w:cs="Times New Roman"/>
                <w:color w:val="000000" w:themeColor="text1"/>
                <w:position w:val="-12"/>
                <w:sz w:val="28"/>
                <w:szCs w:val="28"/>
              </w:rPr>
              <w:object w:dxaOrig="308" w:dyaOrig="362">
                <v:shape id="_x0000_i1032" type="#_x0000_t75" style="width:12pt;height:14.25pt" o:ole="">
                  <v:imagedata r:id="rId19" o:title=""/>
                </v:shape>
                <o:OLEObject Type="Embed" ProgID="Equation.AxMath" ShapeID="_x0000_i1032" DrawAspect="Content" ObjectID="_1606634827" r:id="rId26"/>
              </w:object>
            </w:r>
            <w:r>
              <w:rPr>
                <w:rFonts w:ascii="Times New Roman" w:eastAsiaTheme="minorEastAsia" w:hAnsiTheme="minorEastAsia" w:cs="Times New Roman"/>
                <w:color w:val="000000" w:themeColor="text1"/>
                <w:sz w:val="28"/>
                <w:szCs w:val="28"/>
              </w:rPr>
              <w:t>）</w:t>
            </w:r>
          </w:p>
          <w:p w:rsidR="00512332" w:rsidRDefault="00E80EF5">
            <w:pPr>
              <w:pStyle w:val="af2"/>
              <w:snapToGrid w:val="0"/>
              <w:spacing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heme="minorEastAsia" w:cs="Times New Roman"/>
                <w:color w:val="000000" w:themeColor="text1"/>
                <w:sz w:val="28"/>
                <w:szCs w:val="28"/>
              </w:rPr>
              <w:t>（</w:t>
            </w:r>
            <w:r>
              <w:rPr>
                <w:rFonts w:ascii="Times New Roman" w:eastAsiaTheme="minorEastAsia" w:hAnsi="Times New Roman" w:cs="Times New Roman"/>
                <w:color w:val="000000" w:themeColor="text1"/>
                <w:sz w:val="28"/>
                <w:szCs w:val="28"/>
              </w:rPr>
              <w:t>20</w:t>
            </w:r>
            <w:r>
              <w:rPr>
                <w:rFonts w:ascii="Times New Roman" w:eastAsiaTheme="minorEastAsia" w:hAnsiTheme="minorEastAsia" w:cs="Times New Roman"/>
                <w:color w:val="000000" w:themeColor="text1"/>
                <w:sz w:val="28"/>
                <w:szCs w:val="28"/>
              </w:rPr>
              <w:t>分）</w:t>
            </w:r>
          </w:p>
        </w:tc>
        <w:tc>
          <w:tcPr>
            <w:tcW w:w="1292"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应用非砌筑墙体</w:t>
            </w:r>
          </w:p>
        </w:tc>
        <w:tc>
          <w:tcPr>
            <w:tcW w:w="3460"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非承重围护墙非砌筑</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80%</w:t>
            </w:r>
          </w:p>
        </w:tc>
        <w:tc>
          <w:tcPr>
            <w:tcW w:w="1367" w:type="dxa"/>
            <w:vAlign w:val="center"/>
          </w:tcPr>
          <w:p w:rsidR="00512332" w:rsidRDefault="00E80EF5">
            <w:pPr>
              <w:pStyle w:val="af2"/>
              <w:snapToGrid w:val="0"/>
              <w:spacing w:before="0" w:beforeAutospacing="0" w:after="0" w:afterAutospacing="0" w:line="3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p>
        </w:tc>
        <w:tc>
          <w:tcPr>
            <w:tcW w:w="1005" w:type="dxa"/>
            <w:vMerge w:val="restart"/>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10</w:t>
            </w:r>
          </w:p>
        </w:tc>
      </w:tr>
      <w:tr w:rsidR="00512332">
        <w:trPr>
          <w:trHeight w:val="56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heme="minorEastAsia"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预制外墙外表面积</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50%</w:t>
            </w:r>
          </w:p>
        </w:tc>
        <w:tc>
          <w:tcPr>
            <w:tcW w:w="1367" w:type="dxa"/>
            <w:vAlign w:val="center"/>
          </w:tcPr>
          <w:p w:rsidR="00512332" w:rsidRDefault="00E80EF5">
            <w:pPr>
              <w:pStyle w:val="af2"/>
              <w:snapToGrid w:val="0"/>
              <w:spacing w:before="0" w:beforeAutospacing="0" w:after="0" w:afterAutospacing="0" w:line="32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p>
        </w:tc>
        <w:tc>
          <w:tcPr>
            <w:tcW w:w="1005" w:type="dxa"/>
            <w:vMerge/>
            <w:vAlign w:val="center"/>
          </w:tcPr>
          <w:p w:rsidR="00512332" w:rsidRDefault="00512332">
            <w:pPr>
              <w:pStyle w:val="af2"/>
              <w:snapToGrid w:val="0"/>
              <w:spacing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line="320" w:lineRule="exact"/>
              <w:jc w:val="center"/>
              <w:rPr>
                <w:rFonts w:ascii="Times New Roman" w:eastAsiaTheme="minorEastAsia" w:hAnsi="Times New Roman" w:cs="Times New Roman"/>
                <w:color w:val="000000" w:themeColor="text1"/>
                <w:sz w:val="28"/>
                <w:szCs w:val="28"/>
              </w:rPr>
            </w:pPr>
          </w:p>
        </w:tc>
        <w:tc>
          <w:tcPr>
            <w:tcW w:w="1292"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围护墙采用</w:t>
            </w: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围护墙与保温、隔热、装饰一体化</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w:t>
            </w:r>
            <w:r>
              <w:rPr>
                <w:rFonts w:asciiTheme="minorEastAsia" w:eastAsiaTheme="minorEastAsia" w:hAnsiTheme="minorEastAsia" w:hint="eastAsia"/>
                <w:sz w:val="28"/>
                <w:szCs w:val="28"/>
              </w:rPr>
              <w:t>≤比例≤</w:t>
            </w:r>
            <w:r>
              <w:rPr>
                <w:rFonts w:asciiTheme="minorEastAsia" w:eastAsiaTheme="minorEastAsia" w:hAnsiTheme="minorEastAsia" w:hint="eastAsia"/>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p>
        </w:tc>
        <w:tc>
          <w:tcPr>
            <w:tcW w:w="1005" w:type="dxa"/>
            <w:vMerge/>
            <w:vAlign w:val="center"/>
          </w:tcPr>
          <w:p w:rsidR="00512332" w:rsidRDefault="00512332">
            <w:pPr>
              <w:pStyle w:val="af2"/>
              <w:snapToGrid w:val="0"/>
              <w:spacing w:line="320" w:lineRule="exact"/>
              <w:jc w:val="center"/>
              <w:rPr>
                <w:rFonts w:asciiTheme="minorEastAsia" w:eastAsiaTheme="minorEastAsia" w:hAnsiTheme="minorEastAsia"/>
                <w:color w:val="000000" w:themeColor="text1"/>
                <w:sz w:val="28"/>
                <w:szCs w:val="28"/>
              </w:rPr>
            </w:pPr>
          </w:p>
        </w:tc>
      </w:tr>
      <w:tr w:rsidR="00512332">
        <w:trPr>
          <w:trHeight w:val="567"/>
          <w:jc w:val="center"/>
        </w:trPr>
        <w:tc>
          <w:tcPr>
            <w:tcW w:w="991" w:type="dxa"/>
            <w:vMerge/>
            <w:vAlign w:val="center"/>
          </w:tcPr>
          <w:p w:rsidR="00512332" w:rsidRDefault="00512332">
            <w:pPr>
              <w:pStyle w:val="af2"/>
              <w:snapToGrid w:val="0"/>
              <w:spacing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rPr>
                <w:rFonts w:asciiTheme="minorEastAsia" w:eastAsiaTheme="minorEastAsia" w:hAnsiTheme="minorEastAsia"/>
                <w:sz w:val="28"/>
                <w:szCs w:val="28"/>
              </w:rPr>
            </w:pPr>
            <w:r>
              <w:rPr>
                <w:rFonts w:asciiTheme="minorEastAsia" w:eastAsiaTheme="minorEastAsia" w:hAnsiTheme="minorEastAsia" w:hint="eastAsia"/>
                <w:sz w:val="28"/>
                <w:szCs w:val="28"/>
              </w:rPr>
              <w:t>保温、隔热与装饰一体化</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比例≥</w:t>
            </w:r>
            <w:r>
              <w:rPr>
                <w:rFonts w:asciiTheme="minorEastAsia" w:eastAsiaTheme="minorEastAsia" w:hAnsiTheme="minorEastAsia" w:hint="eastAsia"/>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3.5</w:t>
            </w:r>
          </w:p>
        </w:tc>
        <w:tc>
          <w:tcPr>
            <w:tcW w:w="1005" w:type="dxa"/>
            <w:vMerge/>
            <w:vAlign w:val="center"/>
          </w:tcPr>
          <w:p w:rsidR="00512332" w:rsidRDefault="00512332">
            <w:pPr>
              <w:pStyle w:val="af2"/>
              <w:snapToGrid w:val="0"/>
              <w:spacing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围护墙与保温、隔热一体化</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w:t>
            </w:r>
            <w:r>
              <w:rPr>
                <w:rFonts w:asciiTheme="minorEastAsia" w:eastAsiaTheme="minorEastAsia" w:hAnsiTheme="minorEastAsia" w:hint="eastAsia"/>
                <w:sz w:val="28"/>
                <w:szCs w:val="28"/>
              </w:rPr>
              <w:t>≤比例≤</w:t>
            </w:r>
            <w:r>
              <w:rPr>
                <w:rFonts w:asciiTheme="minorEastAsia" w:eastAsiaTheme="minorEastAsia" w:hAnsiTheme="minorEastAsia" w:hint="eastAsia"/>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3.0*</w:t>
            </w:r>
          </w:p>
        </w:tc>
        <w:tc>
          <w:tcPr>
            <w:tcW w:w="1005" w:type="dxa"/>
            <w:vMerge/>
            <w:vAlign w:val="center"/>
          </w:tcPr>
          <w:p w:rsidR="00512332" w:rsidRDefault="00512332">
            <w:pPr>
              <w:pStyle w:val="af2"/>
              <w:snapToGrid w:val="0"/>
              <w:spacing w:line="320" w:lineRule="exact"/>
              <w:jc w:val="center"/>
              <w:rPr>
                <w:rFonts w:asciiTheme="minorEastAsia" w:eastAsiaTheme="minorEastAsia" w:hAnsiTheme="minorEastAsia"/>
                <w:color w:val="000000" w:themeColor="text1"/>
                <w:sz w:val="28"/>
                <w:szCs w:val="28"/>
              </w:rPr>
            </w:pPr>
          </w:p>
        </w:tc>
      </w:tr>
      <w:tr w:rsidR="00512332">
        <w:trPr>
          <w:trHeight w:val="616"/>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4752" w:type="dxa"/>
            <w:gridSpan w:val="2"/>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内隔墙非砌筑</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50%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内隔墙采用</w:t>
            </w: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内隔墙与管线、装修一体化</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5*</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内隔墙与管线一体化</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80%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1.2</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3.0*</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567"/>
          <w:jc w:val="center"/>
        </w:trPr>
        <w:tc>
          <w:tcPr>
            <w:tcW w:w="991" w:type="dxa"/>
            <w:vMerge w:val="restart"/>
            <w:vAlign w:val="center"/>
          </w:tcPr>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装修和</w:t>
            </w:r>
          </w:p>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设备管线</w:t>
            </w:r>
          </w:p>
          <w:p w:rsidR="00512332" w:rsidRDefault="00E80EF5">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w:t>
            </w:r>
            <w:r w:rsidR="00512332" w:rsidRPr="00512332">
              <w:rPr>
                <w:rFonts w:ascii="Times New Roman" w:eastAsiaTheme="minorEastAsia" w:hAnsi="Times New Roman" w:cs="Times New Roman"/>
                <w:color w:val="000000" w:themeColor="text1"/>
                <w:position w:val="-12"/>
                <w:sz w:val="28"/>
                <w:szCs w:val="28"/>
              </w:rPr>
              <w:object w:dxaOrig="298" w:dyaOrig="362">
                <v:shape id="_x0000_i1033" type="#_x0000_t75" style="width:11.25pt;height:14.25pt" o:ole="">
                  <v:imagedata r:id="rId21" o:title=""/>
                </v:shape>
                <o:OLEObject Type="Embed" ProgID="Equation.AxMath" ShapeID="_x0000_i1033" DrawAspect="Content" ObjectID="_1606634828" r:id="rId27"/>
              </w:object>
            </w:r>
            <w:r>
              <w:rPr>
                <w:rFonts w:ascii="Times New Roman" w:eastAsiaTheme="minorEastAsia" w:hAnsi="Times New Roman" w:cs="Times New Roman"/>
                <w:color w:val="000000" w:themeColor="text1"/>
                <w:sz w:val="28"/>
                <w:szCs w:val="28"/>
              </w:rPr>
              <w:t>）</w:t>
            </w:r>
          </w:p>
          <w:p w:rsidR="00512332" w:rsidRDefault="00E80EF5">
            <w:pPr>
              <w:pStyle w:val="af2"/>
              <w:snapToGrid w:val="0"/>
              <w:spacing w:line="320" w:lineRule="exact"/>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w:t>
            </w:r>
            <w:r>
              <w:rPr>
                <w:rFonts w:ascii="Times New Roman" w:eastAsiaTheme="minorEastAsia" w:hAnsi="Times New Roman" w:cs="Times New Roman"/>
                <w:color w:val="000000" w:themeColor="text1"/>
                <w:sz w:val="28"/>
                <w:szCs w:val="28"/>
              </w:rPr>
              <w:t>30</w:t>
            </w:r>
            <w:r>
              <w:rPr>
                <w:rFonts w:ascii="Times New Roman" w:eastAsiaTheme="minorEastAsia" w:hAnsi="Times New Roman" w:cs="Times New Roman"/>
                <w:color w:val="000000" w:themeColor="text1"/>
                <w:sz w:val="28"/>
                <w:szCs w:val="28"/>
              </w:rPr>
              <w:t>分）</w:t>
            </w:r>
          </w:p>
        </w:tc>
        <w:tc>
          <w:tcPr>
            <w:tcW w:w="1292"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应用全装修</w:t>
            </w:r>
          </w:p>
        </w:tc>
        <w:tc>
          <w:tcPr>
            <w:tcW w:w="3460"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公共部位全装修</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p>
        </w:tc>
        <w:tc>
          <w:tcPr>
            <w:tcW w:w="1005" w:type="dxa"/>
            <w:vMerge w:val="restart"/>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p>
        </w:tc>
      </w:tr>
      <w:tr w:rsidR="00512332">
        <w:trPr>
          <w:trHeight w:val="56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全装修</w:t>
            </w:r>
          </w:p>
        </w:tc>
        <w:tc>
          <w:tcPr>
            <w:tcW w:w="1562"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p>
        </w:tc>
        <w:tc>
          <w:tcPr>
            <w:tcW w:w="1367"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p>
        </w:tc>
        <w:tc>
          <w:tcPr>
            <w:tcW w:w="1005" w:type="dxa"/>
            <w:vMerge/>
            <w:vAlign w:val="center"/>
          </w:tcPr>
          <w:p w:rsidR="00512332" w:rsidRDefault="00512332">
            <w:pPr>
              <w:pStyle w:val="af2"/>
              <w:snapToGrid w:val="0"/>
              <w:spacing w:line="320" w:lineRule="exact"/>
              <w:jc w:val="center"/>
              <w:rPr>
                <w:rFonts w:asciiTheme="minorEastAsia" w:eastAsiaTheme="minorEastAsia" w:hAnsiTheme="minorEastAsia"/>
                <w:color w:val="000000" w:themeColor="text1"/>
                <w:sz w:val="28"/>
                <w:szCs w:val="28"/>
              </w:rPr>
            </w:pPr>
          </w:p>
        </w:tc>
      </w:tr>
      <w:tr w:rsidR="00512332">
        <w:trPr>
          <w:trHeight w:val="567"/>
          <w:jc w:val="center"/>
        </w:trPr>
        <w:tc>
          <w:tcPr>
            <w:tcW w:w="991" w:type="dxa"/>
            <w:vMerge/>
            <w:vAlign w:val="center"/>
          </w:tcPr>
          <w:p w:rsidR="00512332" w:rsidRDefault="00512332">
            <w:pPr>
              <w:pStyle w:val="af2"/>
              <w:snapToGrid w:val="0"/>
              <w:spacing w:line="320" w:lineRule="exact"/>
              <w:jc w:val="center"/>
              <w:rPr>
                <w:rFonts w:ascii="Times New Roman" w:eastAsiaTheme="minorEastAsia" w:hAnsi="Times New Roman" w:cs="Times New Roman"/>
                <w:color w:val="000000" w:themeColor="text1"/>
                <w:sz w:val="28"/>
                <w:szCs w:val="28"/>
              </w:rPr>
            </w:pPr>
          </w:p>
        </w:tc>
        <w:tc>
          <w:tcPr>
            <w:tcW w:w="4752" w:type="dxa"/>
            <w:gridSpan w:val="2"/>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干式工法楼面、地面</w:t>
            </w:r>
          </w:p>
        </w:tc>
        <w:tc>
          <w:tcPr>
            <w:tcW w:w="1562"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70%</w:t>
            </w:r>
          </w:p>
        </w:tc>
        <w:tc>
          <w:tcPr>
            <w:tcW w:w="1367" w:type="dxa"/>
            <w:vAlign w:val="center"/>
          </w:tcPr>
          <w:p w:rsidR="00512332" w:rsidRDefault="00E80EF5">
            <w:pPr>
              <w:pStyle w:val="af2"/>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p>
        </w:tc>
        <w:tc>
          <w:tcPr>
            <w:tcW w:w="1005" w:type="dxa"/>
            <w:vMerge/>
            <w:vAlign w:val="center"/>
          </w:tcPr>
          <w:p w:rsidR="00512332" w:rsidRDefault="00512332">
            <w:pPr>
              <w:pStyle w:val="af2"/>
              <w:snapToGrid w:val="0"/>
              <w:spacing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4752" w:type="dxa"/>
            <w:gridSpan w:val="2"/>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集成厨房</w:t>
            </w:r>
          </w:p>
        </w:tc>
        <w:tc>
          <w:tcPr>
            <w:tcW w:w="1562" w:type="dxa"/>
            <w:vAlign w:val="center"/>
          </w:tcPr>
          <w:p w:rsidR="00512332" w:rsidRDefault="00E80EF5">
            <w:pPr>
              <w:pStyle w:val="af2"/>
              <w:snapToGrid w:val="0"/>
              <w:spacing w:before="0" w:beforeAutospacing="0" w:after="0" w:afterAutospacing="0" w:line="3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90%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6*</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4752" w:type="dxa"/>
            <w:gridSpan w:val="2"/>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集成卫生间</w:t>
            </w:r>
          </w:p>
        </w:tc>
        <w:tc>
          <w:tcPr>
            <w:tcW w:w="1562"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90%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6*</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restart"/>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管线分离</w:t>
            </w:r>
          </w:p>
        </w:tc>
        <w:tc>
          <w:tcPr>
            <w:tcW w:w="3460"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管线竖向与墙体分离</w:t>
            </w:r>
          </w:p>
        </w:tc>
        <w:tc>
          <w:tcPr>
            <w:tcW w:w="1562" w:type="dxa"/>
            <w:vAlign w:val="center"/>
          </w:tcPr>
          <w:p w:rsidR="00512332" w:rsidRDefault="00E80EF5">
            <w:pPr>
              <w:pStyle w:val="af2"/>
              <w:snapToGrid w:val="0"/>
              <w:spacing w:before="0" w:beforeAutospacing="0" w:after="0" w:afterAutospacing="0" w:line="3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70%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3*</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r w:rsidR="00512332">
        <w:trPr>
          <w:trHeight w:val="397"/>
          <w:jc w:val="center"/>
        </w:trPr>
        <w:tc>
          <w:tcPr>
            <w:tcW w:w="991" w:type="dxa"/>
            <w:vMerge/>
            <w:vAlign w:val="center"/>
          </w:tcPr>
          <w:p w:rsidR="00512332" w:rsidRDefault="00512332">
            <w:pPr>
              <w:pStyle w:val="af2"/>
              <w:snapToGrid w:val="0"/>
              <w:spacing w:before="0" w:beforeAutospacing="0" w:after="0" w:afterAutospacing="0" w:line="320" w:lineRule="exact"/>
              <w:jc w:val="center"/>
              <w:rPr>
                <w:rFonts w:ascii="Times New Roman" w:eastAsiaTheme="minorEastAsia" w:hAnsi="Times New Roman" w:cs="Times New Roman"/>
                <w:color w:val="000000" w:themeColor="text1"/>
                <w:sz w:val="28"/>
                <w:szCs w:val="28"/>
              </w:rPr>
            </w:pPr>
          </w:p>
        </w:tc>
        <w:tc>
          <w:tcPr>
            <w:tcW w:w="1292"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3460" w:type="dxa"/>
            <w:vAlign w:val="center"/>
          </w:tcPr>
          <w:p w:rsidR="00512332" w:rsidRDefault="00E80EF5">
            <w:pPr>
              <w:pStyle w:val="af2"/>
              <w:snapToGrid w:val="0"/>
              <w:spacing w:before="0" w:beforeAutospacing="0" w:after="0" w:afterAutospacing="0" w:line="3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管线水平与楼板和湿作业楼面垫层分离</w:t>
            </w:r>
          </w:p>
        </w:tc>
        <w:tc>
          <w:tcPr>
            <w:tcW w:w="1562" w:type="dxa"/>
            <w:vAlign w:val="center"/>
          </w:tcPr>
          <w:p w:rsidR="00512332" w:rsidRDefault="00E80EF5">
            <w:pPr>
              <w:pStyle w:val="af2"/>
              <w:snapToGrid w:val="0"/>
              <w:spacing w:before="0" w:beforeAutospacing="0" w:after="0" w:afterAutospacing="0" w:line="3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50%</w:t>
            </w:r>
            <w:r>
              <w:rPr>
                <w:rFonts w:asciiTheme="minorEastAsia" w:eastAsiaTheme="minorEastAsia" w:hAnsiTheme="minorEastAsia" w:hint="eastAsia"/>
                <w:color w:val="000000" w:themeColor="text1"/>
                <w:sz w:val="28"/>
                <w:szCs w:val="28"/>
              </w:rPr>
              <w:t>≤比例≤</w:t>
            </w:r>
            <w:r>
              <w:rPr>
                <w:rFonts w:asciiTheme="minorEastAsia" w:eastAsiaTheme="minorEastAsia" w:hAnsiTheme="minorEastAsia" w:hint="eastAsia"/>
                <w:color w:val="000000" w:themeColor="text1"/>
                <w:sz w:val="28"/>
                <w:szCs w:val="28"/>
              </w:rPr>
              <w:t>70%</w:t>
            </w:r>
          </w:p>
        </w:tc>
        <w:tc>
          <w:tcPr>
            <w:tcW w:w="1367" w:type="dxa"/>
            <w:vAlign w:val="center"/>
          </w:tcPr>
          <w:p w:rsidR="00512332" w:rsidRDefault="00E80EF5">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3*</w:t>
            </w:r>
          </w:p>
        </w:tc>
        <w:tc>
          <w:tcPr>
            <w:tcW w:w="1005" w:type="dxa"/>
            <w:vMerge/>
            <w:vAlign w:val="center"/>
          </w:tcPr>
          <w:p w:rsidR="00512332" w:rsidRDefault="00512332">
            <w:pPr>
              <w:pStyle w:val="af2"/>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r>
    </w:tbl>
    <w:p w:rsidR="00512332" w:rsidRDefault="00E80EF5">
      <w:pPr>
        <w:pStyle w:val="af2"/>
        <w:shd w:val="clear" w:color="auto" w:fill="FFFFFF"/>
        <w:adjustRightInd w:val="0"/>
        <w:snapToGrid w:val="0"/>
        <w:spacing w:before="0" w:beforeAutospacing="0" w:after="0" w:afterAutospacing="0" w:line="32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注：</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表中带“</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”项的分值采用“内插法”计算，计算结果取小数点后</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位。</w:t>
      </w:r>
    </w:p>
    <w:p w:rsidR="00512332" w:rsidRDefault="00E80EF5">
      <w:pPr>
        <w:pStyle w:val="4"/>
        <w:spacing w:before="120"/>
      </w:pPr>
      <w:r>
        <w:rPr>
          <w:rFonts w:hint="eastAsia"/>
          <w:b/>
          <w:color w:val="000000" w:themeColor="text1"/>
        </w:rPr>
        <w:t>4.1.2</w:t>
      </w:r>
      <w:r>
        <w:t>柱、支撑、承重墙、延性墙板等主体结构竖向构件主要采用混凝土材料时，预制部品部件的应用比例应按下式计算：</w:t>
      </w:r>
    </w:p>
    <w:p w:rsidR="00512332" w:rsidRDefault="00512332">
      <w:pPr>
        <w:widowControl/>
        <w:adjustRightInd w:val="0"/>
        <w:snapToGrid w:val="0"/>
        <w:spacing w:line="240" w:lineRule="auto"/>
        <w:jc w:val="right"/>
        <w:rPr>
          <w:rFonts w:eastAsiaTheme="minorEastAsia" w:hAnsiTheme="minorEastAsia"/>
          <w:color w:val="000000"/>
          <w:szCs w:val="21"/>
        </w:rPr>
      </w:pPr>
      <w:r w:rsidRPr="00512332">
        <w:rPr>
          <w:rFonts w:asciiTheme="minorEastAsia" w:eastAsiaTheme="minorEastAsia" w:hAnsiTheme="minorEastAsia"/>
          <w:color w:val="000000" w:themeColor="text1"/>
          <w:position w:val="-27"/>
        </w:rPr>
        <w:object w:dxaOrig="2707" w:dyaOrig="665">
          <v:shape id="_x0000_i1034" type="#_x0000_t75" style="width:131.25pt;height:32.25pt" o:ole="">
            <v:imagedata r:id="rId28" o:title=""/>
          </v:shape>
          <o:OLEObject Type="Embed" ProgID="Equation.AxMath" ShapeID="_x0000_i1034" DrawAspect="Content" ObjectID="_1606634829" r:id="rId29"/>
        </w:object>
      </w:r>
      <w:r w:rsidR="00E80EF5">
        <w:rPr>
          <w:rFonts w:asciiTheme="minorEastAsia" w:eastAsiaTheme="minorEastAsia" w:hAnsiTheme="minorEastAsia" w:hint="eastAsia"/>
          <w:color w:val="000000" w:themeColor="text1"/>
        </w:rPr>
        <w:t xml:space="preserve">                         </w:t>
      </w:r>
      <w:r w:rsidR="00E80EF5">
        <w:rPr>
          <w:rFonts w:eastAsiaTheme="minorEastAsia" w:hAnsiTheme="minorEastAsia"/>
          <w:color w:val="000000"/>
          <w:szCs w:val="21"/>
        </w:rPr>
        <w:t>（</w:t>
      </w:r>
      <w:r w:rsidR="00E80EF5">
        <w:rPr>
          <w:rFonts w:eastAsiaTheme="minorEastAsia"/>
          <w:color w:val="000000"/>
          <w:szCs w:val="21"/>
        </w:rPr>
        <w:t>4.</w:t>
      </w:r>
      <w:r w:rsidR="00E80EF5">
        <w:rPr>
          <w:rFonts w:eastAsiaTheme="minorEastAsia" w:hint="eastAsia"/>
          <w:color w:val="000000"/>
          <w:szCs w:val="21"/>
        </w:rPr>
        <w:t>1</w:t>
      </w:r>
      <w:r w:rsidR="00E80EF5">
        <w:rPr>
          <w:rFonts w:eastAsiaTheme="minorEastAsia"/>
          <w:color w:val="000000"/>
          <w:szCs w:val="21"/>
        </w:rPr>
        <w:t>.</w:t>
      </w:r>
      <w:r w:rsidR="00E80EF5">
        <w:rPr>
          <w:rFonts w:eastAsiaTheme="minorEastAsia" w:hint="eastAsia"/>
          <w:color w:val="000000"/>
          <w:szCs w:val="21"/>
        </w:rPr>
        <w:t>2</w:t>
      </w:r>
      <w:r w:rsidR="00E80EF5">
        <w:rPr>
          <w:rFonts w:eastAsiaTheme="minorEastAsia" w:hAnsiTheme="minorEastAsia"/>
          <w:color w:val="000000"/>
          <w:szCs w:val="21"/>
        </w:rPr>
        <w:t>）</w:t>
      </w:r>
    </w:p>
    <w:tbl>
      <w:tblPr>
        <w:tblW w:w="9459" w:type="dxa"/>
        <w:tblLayout w:type="fixed"/>
        <w:tblLook w:val="04A0"/>
      </w:tblPr>
      <w:tblGrid>
        <w:gridCol w:w="1101"/>
        <w:gridCol w:w="577"/>
        <w:gridCol w:w="816"/>
        <w:gridCol w:w="6965"/>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31" w:dyaOrig="301">
                <v:shape id="_x0000_i1035" type="#_x0000_t75" style="width:18pt;height:14.25pt" o:ole="">
                  <v:imagedata r:id="rId30" o:title=""/>
                </v:shape>
                <o:OLEObject Type="Embed" ProgID="Equation.AxMath" ShapeID="_x0000_i1035" DrawAspect="Content" ObjectID="_1606634830" r:id="rId31"/>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柱、支撑、承重墙、延性墙板等主体结构竖向构件中预制部品部件的应用比例；</w:t>
            </w:r>
          </w:p>
        </w:tc>
      </w:tr>
      <w:tr w:rsidR="00512332">
        <w:trPr>
          <w:trHeight w:val="340"/>
        </w:trPr>
        <w:tc>
          <w:tcPr>
            <w:tcW w:w="1101" w:type="dxa"/>
          </w:tcPr>
          <w:p w:rsidR="00512332" w:rsidRDefault="00512332">
            <w:pPr>
              <w:rPr>
                <w:rFonts w:asciiTheme="minorEastAsia" w:eastAsiaTheme="minorEastAsia" w:hAnsiTheme="minorEastAsia"/>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42" w:dyaOrig="302">
                <v:shape id="_x0000_i1036" type="#_x0000_t75" style="width:12pt;height:18pt" o:ole="">
                  <v:imagedata r:id="rId32" o:title=""/>
                </v:shape>
                <o:OLEObject Type="Embed" ProgID="Equation.AxMath" ShapeID="_x0000_i1036" DrawAspect="Content" ObjectID="_1606634831" r:id="rId3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相对于预制结构采用全现浇方式建造时±</w:t>
            </w:r>
            <w:r>
              <w:rPr>
                <w:rFonts w:asciiTheme="minorEastAsia" w:eastAsiaTheme="minorEastAsia" w:hAnsiTheme="minorEastAsia" w:hint="eastAsia"/>
                <w:color w:val="000000" w:themeColor="text1"/>
              </w:rPr>
              <w:t>0.000</w:t>
            </w:r>
            <w:r>
              <w:rPr>
                <w:rFonts w:asciiTheme="minorEastAsia" w:eastAsiaTheme="minorEastAsia" w:hAnsiTheme="minorEastAsia" w:hint="eastAsia"/>
                <w:color w:val="000000" w:themeColor="text1"/>
              </w:rPr>
              <w:t>以上混凝土用量总体积；</w:t>
            </w:r>
            <w:r w:rsidR="00512332" w:rsidRPr="00512332">
              <w:rPr>
                <w:rFonts w:asciiTheme="minorEastAsia" w:eastAsiaTheme="minorEastAsia" w:hAnsiTheme="minorEastAsia"/>
                <w:color w:val="000000" w:themeColor="text1"/>
                <w:position w:val="-10"/>
              </w:rPr>
              <w:object w:dxaOrig="1134" w:dyaOrig="302">
                <v:shape id="_x0000_i1037" type="#_x0000_t75" style="width:57pt;height:15.75pt" o:ole="">
                  <v:imagedata r:id="rId34" o:title=""/>
                </v:shape>
                <o:OLEObject Type="Embed" ProgID="Equation.AxMath" ShapeID="_x0000_i1037" DrawAspect="Content" ObjectID="_1606634832" r:id="rId35"/>
              </w:objec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62" w:dyaOrig="301">
                <v:shape id="_x0000_i1038" type="#_x0000_t75" style="width:12pt;height:14.25pt" o:ole="">
                  <v:imagedata r:id="rId36" o:title=""/>
                </v:shape>
                <o:OLEObject Type="Embed" ProgID="Equation.AxMath" ShapeID="_x0000_i1038" DrawAspect="Content" ObjectID="_1606634833" r:id="rId37"/>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非承重竖向构件预制构件混凝土用量总体积；</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0"/>
              </w:rPr>
              <w:object w:dxaOrig="179" w:dyaOrig="299">
                <v:shape id="_x0000_i1039" type="#_x0000_t75" style="width:9.75pt;height:14.25pt" o:ole="">
                  <v:imagedata r:id="rId38" o:title=""/>
                </v:shape>
                <o:OLEObject Type="Embed" ProgID="Equation.AxMath" ShapeID="_x0000_i1039" DrawAspect="Content" ObjectID="_1606634834" r:id="rId39"/>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bottom"/>
          </w:tcPr>
          <w:p w:rsidR="00512332" w:rsidRDefault="00E80EF5">
            <w:pPr>
              <w:rPr>
                <w:rFonts w:asciiTheme="minorEastAsia" w:eastAsiaTheme="minorEastAsia" w:hAnsiTheme="minorEastAsia"/>
              </w:rPr>
            </w:pPr>
            <w:r>
              <w:rPr>
                <w:rFonts w:asciiTheme="minorEastAsia" w:eastAsiaTheme="minorEastAsia" w:hAnsiTheme="minorEastAsia" w:hint="eastAsia"/>
              </w:rPr>
              <w:t>竖向结构构件占总混凝土体积比率系数，</w:t>
            </w:r>
            <w:r>
              <w:rPr>
                <w:rFonts w:asciiTheme="minorEastAsia" w:eastAsiaTheme="minorEastAsia" w:hAnsiTheme="minorEastAsia" w:hint="eastAsia"/>
                <w:color w:val="000000" w:themeColor="text1"/>
              </w:rPr>
              <w:t>见表</w:t>
            </w:r>
            <w:r>
              <w:rPr>
                <w:rFonts w:asciiTheme="minorEastAsia" w:eastAsiaTheme="minorEastAsia" w:hAnsiTheme="minorEastAsia"/>
                <w:color w:val="000000" w:themeColor="text1"/>
              </w:rPr>
              <w:t>4.1.2-2</w:t>
            </w:r>
            <w:r>
              <w:rPr>
                <w:rFonts w:asciiTheme="minorEastAsia" w:eastAsiaTheme="minorEastAsia" w:hAnsiTheme="minorEastAsia"/>
                <w:color w:val="000000" w:themeColor="text1"/>
              </w:rPr>
              <w:t>所示</w:t>
            </w:r>
            <w:r>
              <w:rPr>
                <w:rFonts w:asciiTheme="minorEastAsia" w:eastAsiaTheme="minorEastAsia" w:hAnsiTheme="minorEastAsia" w:hint="eastAsia"/>
                <w:color w:val="000000" w:themeColor="text1"/>
              </w:rPr>
              <w:t>。</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213" w:dyaOrig="359">
                <v:shape id="_x0000_i1040" type="#_x0000_t75" style="width:10.5pt;height:18pt" o:ole="">
                  <v:imagedata r:id="rId40" o:title=""/>
                </v:shape>
                <o:OLEObject Type="Embed" ProgID="Equation.AxMath" ShapeID="_x0000_i1040" DrawAspect="Content" ObjectID="_1606634835" r:id="rId41"/>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非承重竖向构件折减系数，内嵌式取</w:t>
            </w:r>
            <w:r>
              <w:rPr>
                <w:rFonts w:asciiTheme="minorEastAsia" w:eastAsiaTheme="minorEastAsia" w:hAnsiTheme="minorEastAsia" w:hint="eastAsia"/>
                <w:color w:val="000000" w:themeColor="text1"/>
              </w:rPr>
              <w:t>0.9</w:t>
            </w:r>
            <w:r>
              <w:rPr>
                <w:rFonts w:asciiTheme="minorEastAsia" w:eastAsiaTheme="minorEastAsia" w:hAnsiTheme="minorEastAsia" w:hint="eastAsia"/>
                <w:color w:val="000000" w:themeColor="text1"/>
              </w:rPr>
              <w:t>，外挂取</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0"/>
              </w:rPr>
              <w:object w:dxaOrig="301" w:dyaOrig="302">
                <v:shape id="_x0000_i1041" type="#_x0000_t75" style="width:18pt;height:18pt" o:ole="">
                  <v:imagedata r:id="rId42" o:title=""/>
                </v:shape>
                <o:OLEObject Type="Embed" ProgID="Equation.AxMath" ShapeID="_x0000_i1041" DrawAspect="Content" ObjectID="_1606634836" r:id="rId4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center"/>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单体建筑±</w:t>
            </w:r>
            <w:r>
              <w:rPr>
                <w:rFonts w:asciiTheme="minorEastAsia" w:eastAsiaTheme="minorEastAsia" w:hAnsiTheme="minorEastAsia" w:hint="eastAsia"/>
                <w:color w:val="000000" w:themeColor="text1"/>
              </w:rPr>
              <w:t>0.000</w:t>
            </w:r>
            <w:r>
              <w:rPr>
                <w:rFonts w:asciiTheme="minorEastAsia" w:eastAsiaTheme="minorEastAsia" w:hAnsiTheme="minorEastAsia" w:hint="eastAsia"/>
                <w:color w:val="000000" w:themeColor="text1"/>
              </w:rPr>
              <w:t>以上总建筑面积；</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0"/>
              </w:rPr>
              <w:object w:dxaOrig="281" w:dyaOrig="302">
                <v:shape id="_x0000_i1042" type="#_x0000_t75" style="width:14.25pt;height:18pt" o:ole="">
                  <v:imagedata r:id="rId44" o:title=""/>
                </v:shape>
                <o:OLEObject Type="Embed" ProgID="Equation.AxMath" ShapeID="_x0000_i1042" DrawAspect="Content" ObjectID="_1606634837" r:id="rId45"/>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现浇体积系数。其含义为：相对于预制结构采用全现浇方式建造时±</w:t>
            </w:r>
            <w:r>
              <w:rPr>
                <w:rFonts w:asciiTheme="minorEastAsia" w:eastAsiaTheme="minorEastAsia" w:hAnsiTheme="minorEastAsia" w:hint="eastAsia"/>
                <w:color w:val="000000" w:themeColor="text1"/>
              </w:rPr>
              <w:t>0.000</w:t>
            </w:r>
            <w:r>
              <w:rPr>
                <w:rFonts w:asciiTheme="minorEastAsia" w:eastAsiaTheme="minorEastAsia" w:hAnsiTheme="minorEastAsia" w:hint="eastAsia"/>
                <w:color w:val="000000" w:themeColor="text1"/>
              </w:rPr>
              <w:t>以上每平米的现浇体积，见表</w:t>
            </w:r>
            <w:r>
              <w:rPr>
                <w:rFonts w:asciiTheme="minorEastAsia" w:eastAsiaTheme="minorEastAsia" w:hAnsiTheme="minorEastAsia" w:hint="eastAsia"/>
                <w:color w:val="000000" w:themeColor="text1"/>
              </w:rPr>
              <w:t>4.1.2-1</w:t>
            </w:r>
            <w:r>
              <w:rPr>
                <w:rFonts w:asciiTheme="minorEastAsia" w:eastAsiaTheme="minorEastAsia" w:hAnsiTheme="minorEastAsia"/>
                <w:color w:val="000000" w:themeColor="text1"/>
              </w:rPr>
              <w:t>所示</w:t>
            </w:r>
            <w:r>
              <w:rPr>
                <w:rFonts w:asciiTheme="minorEastAsia" w:eastAsiaTheme="minorEastAsia" w:hAnsiTheme="minorEastAsia" w:hint="eastAsia"/>
                <w:color w:val="000000" w:themeColor="text1"/>
              </w:rPr>
              <w:t>。</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63" w:dyaOrig="302">
                <v:shape id="_x0000_i1043" type="#_x0000_t75" style="width:18pt;height:14.25pt" o:ole="">
                  <v:imagedata r:id="rId46" o:title=""/>
                </v:shape>
                <o:OLEObject Type="Embed" ProgID="Equation.AxMath" ShapeID="_x0000_i1043" DrawAspect="Content" ObjectID="_1606634838" r:id="rId47"/>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vAlign w:val="bottom"/>
          </w:tcPr>
          <w:p w:rsidR="00512332" w:rsidRDefault="00E80EF5">
            <w:pPr>
              <w:rPr>
                <w:rFonts w:asciiTheme="minorEastAsia" w:eastAsiaTheme="minorEastAsia" w:hAnsiTheme="minorEastAsia"/>
              </w:rPr>
            </w:pPr>
            <w:r>
              <w:rPr>
                <w:rFonts w:asciiTheme="minorEastAsia" w:eastAsiaTheme="minorEastAsia" w:hAnsiTheme="minorEastAsia"/>
              </w:rPr>
              <w:t>柱、支撑、承重墙、延性墙板等主体结构竖向构件中预制混凝土体积之和，符合本标准第</w:t>
            </w:r>
            <w:r>
              <w:rPr>
                <w:rFonts w:asciiTheme="minorEastAsia" w:eastAsiaTheme="minorEastAsia" w:hAnsiTheme="minorEastAsia"/>
              </w:rPr>
              <w:t>4.</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条规</w:t>
            </w:r>
            <w:r>
              <w:rPr>
                <w:rFonts w:asciiTheme="minorEastAsia" w:eastAsiaTheme="minorEastAsia" w:hAnsiTheme="minorEastAsia"/>
              </w:rPr>
              <w:lastRenderedPageBreak/>
              <w:t>定的预制构件间连接部分的后浇混凝土也可计入；</w:t>
            </w:r>
          </w:p>
        </w:tc>
      </w:tr>
    </w:tbl>
    <w:p w:rsidR="00512332" w:rsidRDefault="00512332">
      <w:pPr>
        <w:widowControl/>
        <w:adjustRightInd w:val="0"/>
        <w:snapToGrid w:val="0"/>
        <w:spacing w:line="320" w:lineRule="exact"/>
        <w:jc w:val="center"/>
        <w:rPr>
          <w:rFonts w:asciiTheme="minorEastAsia" w:eastAsiaTheme="minorEastAsia" w:hAnsiTheme="minorEastAsia"/>
          <w:b/>
          <w:color w:val="000000" w:themeColor="text1"/>
          <w:sz w:val="28"/>
          <w:szCs w:val="28"/>
        </w:rPr>
      </w:pPr>
    </w:p>
    <w:p w:rsidR="00512332" w:rsidRDefault="00E80EF5">
      <w:pPr>
        <w:widowControl/>
        <w:adjustRightInd w:val="0"/>
        <w:snapToGrid w:val="0"/>
        <w:spacing w:line="320" w:lineRule="exact"/>
        <w:jc w:val="center"/>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表</w:t>
      </w:r>
      <w:r>
        <w:rPr>
          <w:rFonts w:eastAsiaTheme="minorEastAsia"/>
          <w:b/>
          <w:color w:val="000000" w:themeColor="text1"/>
          <w:sz w:val="28"/>
          <w:szCs w:val="28"/>
        </w:rPr>
        <w:t>4.1.2-1</w:t>
      </w:r>
      <w:r>
        <w:rPr>
          <w:rFonts w:asciiTheme="minorEastAsia" w:eastAsiaTheme="minorEastAsia" w:hAnsiTheme="minorEastAsia"/>
          <w:b/>
          <w:color w:val="000000" w:themeColor="text1"/>
          <w:sz w:val="28"/>
          <w:szCs w:val="28"/>
        </w:rPr>
        <w:t>现浇体积系数</w:t>
      </w:r>
      <w:r w:rsidR="00512332" w:rsidRPr="00512332">
        <w:rPr>
          <w:rFonts w:asciiTheme="minorEastAsia" w:eastAsiaTheme="minorEastAsia" w:hAnsiTheme="minorEastAsia"/>
          <w:b/>
          <w:color w:val="000000" w:themeColor="text1"/>
          <w:position w:val="-12"/>
          <w:sz w:val="28"/>
          <w:szCs w:val="28"/>
        </w:rPr>
        <w:object w:dxaOrig="333" w:dyaOrig="362">
          <v:shape id="_x0000_i1044" type="#_x0000_t75" style="width:18pt;height:20.25pt" o:ole="">
            <v:imagedata r:id="rId48" o:title=""/>
          </v:shape>
          <o:OLEObject Type="Embed" ProgID="Equation.AxMath" ShapeID="_x0000_i1044" DrawAspect="Content" ObjectID="_1606634839" r:id="rId49"/>
        </w:object>
      </w:r>
    </w:p>
    <w:tbl>
      <w:tblPr>
        <w:tblW w:w="9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53"/>
        <w:gridCol w:w="2899"/>
        <w:gridCol w:w="4022"/>
      </w:tblGrid>
      <w:tr w:rsidR="00512332">
        <w:trPr>
          <w:trHeight w:val="454"/>
          <w:jc w:val="center"/>
        </w:trPr>
        <w:tc>
          <w:tcPr>
            <w:tcW w:w="2253" w:type="dxa"/>
            <w:vAlign w:val="center"/>
          </w:tcPr>
          <w:p w:rsidR="00512332" w:rsidRDefault="00E80EF5">
            <w:pPr>
              <w:snapToGrid w:val="0"/>
              <w:spacing w:line="320" w:lineRule="exact"/>
              <w:jc w:val="center"/>
              <w:rPr>
                <w:color w:val="000000" w:themeColor="text1"/>
                <w:sz w:val="28"/>
                <w:szCs w:val="28"/>
              </w:rPr>
            </w:pPr>
            <w:r>
              <w:rPr>
                <w:rFonts w:hint="eastAsia"/>
                <w:color w:val="000000" w:themeColor="text1"/>
                <w:sz w:val="28"/>
                <w:szCs w:val="28"/>
              </w:rPr>
              <w:t>抗震设防烈度</w:t>
            </w:r>
          </w:p>
        </w:tc>
        <w:tc>
          <w:tcPr>
            <w:tcW w:w="2899" w:type="dxa"/>
            <w:vAlign w:val="center"/>
          </w:tcPr>
          <w:p w:rsidR="00512332" w:rsidRDefault="00E80EF5">
            <w:pPr>
              <w:snapToGrid w:val="0"/>
              <w:spacing w:line="320" w:lineRule="exact"/>
              <w:jc w:val="center"/>
              <w:rPr>
                <w:color w:val="000000" w:themeColor="text1"/>
                <w:sz w:val="28"/>
                <w:szCs w:val="28"/>
              </w:rPr>
            </w:pPr>
            <w:r>
              <w:rPr>
                <w:rFonts w:hint="eastAsia"/>
                <w:color w:val="000000" w:themeColor="text1"/>
                <w:sz w:val="28"/>
                <w:szCs w:val="28"/>
              </w:rPr>
              <w:t>结构体系类型</w:t>
            </w:r>
          </w:p>
        </w:tc>
        <w:tc>
          <w:tcPr>
            <w:tcW w:w="4022" w:type="dxa"/>
            <w:vAlign w:val="center"/>
          </w:tcPr>
          <w:p w:rsidR="00512332" w:rsidRDefault="00E80EF5">
            <w:pPr>
              <w:snapToGrid w:val="0"/>
              <w:spacing w:line="320" w:lineRule="exact"/>
              <w:jc w:val="center"/>
              <w:rPr>
                <w:color w:val="000000" w:themeColor="text1"/>
                <w:sz w:val="28"/>
                <w:szCs w:val="28"/>
              </w:rPr>
            </w:pPr>
            <w:r>
              <w:rPr>
                <w:rFonts w:hint="eastAsia"/>
                <w:color w:val="000000" w:themeColor="text1"/>
                <w:sz w:val="28"/>
                <w:szCs w:val="28"/>
              </w:rPr>
              <w:t>现浇体积系数（</w:t>
            </w:r>
            <w:r w:rsidR="00512332" w:rsidRPr="00512332">
              <w:rPr>
                <w:color w:val="000000" w:themeColor="text1"/>
                <w:position w:val="-12"/>
                <w:sz w:val="28"/>
                <w:szCs w:val="28"/>
              </w:rPr>
              <w:object w:dxaOrig="768" w:dyaOrig="364">
                <v:shape id="_x0000_i1045" type="#_x0000_t75" style="width:39pt;height:18pt" o:ole="">
                  <v:imagedata r:id="rId50" o:title=""/>
                </v:shape>
                <o:OLEObject Type="Embed" ProgID="Equation.AxMath" ShapeID="_x0000_i1045" DrawAspect="Content" ObjectID="_1606634840" r:id="rId51"/>
              </w:object>
            </w:r>
            <w:r>
              <w:rPr>
                <w:rFonts w:hint="eastAsia"/>
                <w:color w:val="000000" w:themeColor="text1"/>
                <w:sz w:val="28"/>
                <w:szCs w:val="28"/>
              </w:rPr>
              <w:t>）</w:t>
            </w:r>
          </w:p>
        </w:tc>
      </w:tr>
      <w:tr w:rsidR="00512332">
        <w:trPr>
          <w:trHeight w:val="454"/>
          <w:jc w:val="center"/>
        </w:trPr>
        <w:tc>
          <w:tcPr>
            <w:tcW w:w="2253" w:type="dxa"/>
            <w:vMerge w:val="restart"/>
            <w:vAlign w:val="center"/>
          </w:tcPr>
          <w:p w:rsidR="00512332" w:rsidRDefault="00E80EF5">
            <w:pPr>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r>
              <w:rPr>
                <w:rFonts w:asciiTheme="minorEastAsia" w:eastAsiaTheme="minorEastAsia" w:hAnsiTheme="minorEastAsia" w:hint="eastAsia"/>
                <w:color w:val="000000" w:themeColor="text1"/>
                <w:sz w:val="28"/>
                <w:szCs w:val="28"/>
              </w:rPr>
              <w:t>度</w:t>
            </w:r>
          </w:p>
        </w:tc>
        <w:tc>
          <w:tcPr>
            <w:tcW w:w="2899"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框架结构</w:t>
            </w:r>
          </w:p>
        </w:tc>
        <w:tc>
          <w:tcPr>
            <w:tcW w:w="4022"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0.3142</w:t>
            </w:r>
          </w:p>
        </w:tc>
      </w:tr>
      <w:tr w:rsidR="00512332">
        <w:trPr>
          <w:trHeight w:val="454"/>
          <w:jc w:val="center"/>
        </w:trPr>
        <w:tc>
          <w:tcPr>
            <w:tcW w:w="2253" w:type="dxa"/>
            <w:vMerge/>
            <w:vAlign w:val="center"/>
          </w:tcPr>
          <w:p w:rsidR="00512332" w:rsidRDefault="00512332">
            <w:pPr>
              <w:snapToGrid w:val="0"/>
              <w:spacing w:line="320" w:lineRule="exact"/>
              <w:jc w:val="center"/>
              <w:rPr>
                <w:rFonts w:asciiTheme="minorEastAsia" w:eastAsiaTheme="minorEastAsia" w:hAnsiTheme="minorEastAsia"/>
                <w:color w:val="000000" w:themeColor="text1"/>
                <w:sz w:val="28"/>
                <w:szCs w:val="28"/>
              </w:rPr>
            </w:pPr>
          </w:p>
        </w:tc>
        <w:tc>
          <w:tcPr>
            <w:tcW w:w="2899"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剪力墙结构</w:t>
            </w:r>
          </w:p>
        </w:tc>
        <w:tc>
          <w:tcPr>
            <w:tcW w:w="4022"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0.3438</w:t>
            </w:r>
          </w:p>
        </w:tc>
      </w:tr>
      <w:tr w:rsidR="00512332">
        <w:trPr>
          <w:trHeight w:val="454"/>
          <w:jc w:val="center"/>
        </w:trPr>
        <w:tc>
          <w:tcPr>
            <w:tcW w:w="2253" w:type="dxa"/>
            <w:vMerge/>
            <w:vAlign w:val="center"/>
          </w:tcPr>
          <w:p w:rsidR="00512332" w:rsidRDefault="00512332">
            <w:pPr>
              <w:snapToGrid w:val="0"/>
              <w:spacing w:line="320" w:lineRule="exact"/>
              <w:jc w:val="center"/>
              <w:rPr>
                <w:rFonts w:asciiTheme="minorEastAsia" w:eastAsiaTheme="minorEastAsia" w:hAnsiTheme="minorEastAsia"/>
                <w:color w:val="000000" w:themeColor="text1"/>
                <w:sz w:val="28"/>
                <w:szCs w:val="28"/>
              </w:rPr>
            </w:pPr>
          </w:p>
        </w:tc>
        <w:tc>
          <w:tcPr>
            <w:tcW w:w="2899"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框剪结构</w:t>
            </w:r>
          </w:p>
        </w:tc>
        <w:tc>
          <w:tcPr>
            <w:tcW w:w="4022"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0.3330</w:t>
            </w:r>
          </w:p>
        </w:tc>
      </w:tr>
      <w:tr w:rsidR="00512332">
        <w:trPr>
          <w:trHeight w:val="454"/>
          <w:jc w:val="center"/>
        </w:trPr>
        <w:tc>
          <w:tcPr>
            <w:tcW w:w="2253" w:type="dxa"/>
            <w:vMerge w:val="restart"/>
            <w:vAlign w:val="center"/>
          </w:tcPr>
          <w:p w:rsidR="00512332" w:rsidRDefault="00E80EF5">
            <w:pPr>
              <w:snapToGrid w:val="0"/>
              <w:spacing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w:t>
            </w:r>
            <w:r>
              <w:rPr>
                <w:rFonts w:asciiTheme="minorEastAsia" w:eastAsiaTheme="minorEastAsia" w:hAnsiTheme="minorEastAsia" w:hint="eastAsia"/>
                <w:color w:val="000000" w:themeColor="text1"/>
                <w:sz w:val="28"/>
                <w:szCs w:val="28"/>
              </w:rPr>
              <w:t>度</w:t>
            </w:r>
          </w:p>
        </w:tc>
        <w:tc>
          <w:tcPr>
            <w:tcW w:w="2899"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框架结构</w:t>
            </w:r>
          </w:p>
        </w:tc>
        <w:tc>
          <w:tcPr>
            <w:tcW w:w="4022"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0.3236</w:t>
            </w:r>
          </w:p>
        </w:tc>
      </w:tr>
      <w:tr w:rsidR="00512332">
        <w:trPr>
          <w:trHeight w:val="454"/>
          <w:jc w:val="center"/>
        </w:trPr>
        <w:tc>
          <w:tcPr>
            <w:tcW w:w="2253" w:type="dxa"/>
            <w:vMerge/>
            <w:vAlign w:val="center"/>
          </w:tcPr>
          <w:p w:rsidR="00512332" w:rsidRDefault="00512332">
            <w:pPr>
              <w:snapToGrid w:val="0"/>
              <w:spacing w:line="320" w:lineRule="exact"/>
              <w:jc w:val="center"/>
              <w:rPr>
                <w:rFonts w:asciiTheme="minorEastAsia" w:eastAsiaTheme="minorEastAsia" w:hAnsiTheme="minorEastAsia"/>
                <w:color w:val="000000" w:themeColor="text1"/>
                <w:sz w:val="28"/>
                <w:szCs w:val="28"/>
              </w:rPr>
            </w:pPr>
          </w:p>
        </w:tc>
        <w:tc>
          <w:tcPr>
            <w:tcW w:w="2899"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剪力墙结构</w:t>
            </w:r>
          </w:p>
        </w:tc>
        <w:tc>
          <w:tcPr>
            <w:tcW w:w="4022"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0.3507</w:t>
            </w:r>
          </w:p>
        </w:tc>
      </w:tr>
      <w:tr w:rsidR="00512332">
        <w:trPr>
          <w:trHeight w:val="454"/>
          <w:jc w:val="center"/>
        </w:trPr>
        <w:tc>
          <w:tcPr>
            <w:tcW w:w="2253" w:type="dxa"/>
            <w:vMerge/>
            <w:vAlign w:val="center"/>
          </w:tcPr>
          <w:p w:rsidR="00512332" w:rsidRDefault="00512332">
            <w:pPr>
              <w:snapToGrid w:val="0"/>
              <w:spacing w:line="320" w:lineRule="exact"/>
              <w:jc w:val="center"/>
              <w:rPr>
                <w:rFonts w:asciiTheme="minorEastAsia" w:eastAsiaTheme="minorEastAsia" w:hAnsiTheme="minorEastAsia"/>
                <w:color w:val="000000" w:themeColor="text1"/>
                <w:sz w:val="28"/>
                <w:szCs w:val="28"/>
              </w:rPr>
            </w:pPr>
          </w:p>
        </w:tc>
        <w:tc>
          <w:tcPr>
            <w:tcW w:w="2899"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框剪结构</w:t>
            </w:r>
          </w:p>
        </w:tc>
        <w:tc>
          <w:tcPr>
            <w:tcW w:w="4022"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0.3463</w:t>
            </w:r>
          </w:p>
        </w:tc>
      </w:tr>
    </w:tbl>
    <w:p w:rsidR="00512332" w:rsidRDefault="00E80EF5">
      <w:pPr>
        <w:adjustRightInd w:val="0"/>
        <w:snapToGrid w:val="0"/>
        <w:spacing w:line="32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注：当同一建筑单体存在两种结构体系时，现浇体积系数按两者中较大值取用。</w:t>
      </w:r>
    </w:p>
    <w:p w:rsidR="00512332" w:rsidRDefault="00E80EF5">
      <w:pPr>
        <w:widowControl/>
        <w:adjustRightInd w:val="0"/>
        <w:snapToGrid w:val="0"/>
        <w:spacing w:line="320" w:lineRule="exact"/>
        <w:ind w:firstLineChars="150" w:firstLine="422"/>
        <w:jc w:val="center"/>
        <w:rPr>
          <w:rFonts w:eastAsiaTheme="minorEastAsia"/>
          <w:color w:val="000000"/>
          <w:sz w:val="28"/>
          <w:szCs w:val="28"/>
        </w:rPr>
      </w:pPr>
      <w:r>
        <w:rPr>
          <w:rFonts w:eastAsiaTheme="minorEastAsia" w:hAnsiTheme="minorEastAsia"/>
          <w:b/>
          <w:color w:val="000000" w:themeColor="text1"/>
          <w:sz w:val="28"/>
          <w:szCs w:val="28"/>
        </w:rPr>
        <w:t>表</w:t>
      </w:r>
      <w:r>
        <w:rPr>
          <w:rFonts w:eastAsiaTheme="minorEastAsia"/>
          <w:b/>
          <w:color w:val="000000" w:themeColor="text1"/>
          <w:sz w:val="28"/>
          <w:szCs w:val="28"/>
        </w:rPr>
        <w:t>4.1.2-2</w:t>
      </w:r>
      <w:r>
        <w:rPr>
          <w:rFonts w:eastAsiaTheme="minorEastAsia" w:hAnsiTheme="minorEastAsia"/>
          <w:color w:val="000000"/>
          <w:sz w:val="28"/>
          <w:szCs w:val="28"/>
        </w:rPr>
        <w:t>竖向结构构件占总混凝土体积比率系数</w:t>
      </w:r>
      <w:r w:rsidR="00512332" w:rsidRPr="00512332">
        <w:rPr>
          <w:rFonts w:eastAsiaTheme="minorEastAsia"/>
          <w:color w:val="000000" w:themeColor="text1"/>
          <w:position w:val="-12"/>
          <w:sz w:val="28"/>
          <w:szCs w:val="28"/>
        </w:rPr>
        <w:object w:dxaOrig="215" w:dyaOrig="359">
          <v:shape id="_x0000_i1046" type="#_x0000_t75" style="width:10.5pt;height:18pt" o:ole="">
            <v:imagedata r:id="rId52" o:title=""/>
          </v:shape>
          <o:OLEObject Type="Embed" ProgID="Equation.AxMath" ShapeID="_x0000_i1046" DrawAspect="Content" ObjectID="_1606634841" r:id="rId53"/>
        </w:object>
      </w:r>
    </w:p>
    <w:tbl>
      <w:tblPr>
        <w:tblW w:w="9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53"/>
        <w:gridCol w:w="2899"/>
        <w:gridCol w:w="4022"/>
      </w:tblGrid>
      <w:tr w:rsidR="00512332">
        <w:trPr>
          <w:trHeight w:val="454"/>
          <w:jc w:val="center"/>
        </w:trPr>
        <w:tc>
          <w:tcPr>
            <w:tcW w:w="2253" w:type="dxa"/>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hAnsiTheme="minorEastAsia"/>
                <w:color w:val="000000" w:themeColor="text1"/>
                <w:sz w:val="28"/>
                <w:szCs w:val="28"/>
              </w:rPr>
              <w:t>抗震设防烈度</w:t>
            </w: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结构体系类型</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比率系数</w:t>
            </w:r>
          </w:p>
        </w:tc>
      </w:tr>
      <w:tr w:rsidR="00512332">
        <w:trPr>
          <w:trHeight w:val="454"/>
          <w:jc w:val="center"/>
        </w:trPr>
        <w:tc>
          <w:tcPr>
            <w:tcW w:w="2253" w:type="dxa"/>
            <w:vMerge w:val="restart"/>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6</w:t>
            </w:r>
            <w:r>
              <w:rPr>
                <w:rFonts w:eastAsiaTheme="minorEastAsia" w:hAnsiTheme="minorEastAsia"/>
                <w:color w:val="000000" w:themeColor="text1"/>
                <w:sz w:val="28"/>
                <w:szCs w:val="28"/>
              </w:rPr>
              <w:t>度</w:t>
            </w: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框架结构</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color w:val="000000" w:themeColor="text1"/>
                <w:sz w:val="28"/>
                <w:szCs w:val="28"/>
              </w:rPr>
              <w:t>0.25</w:t>
            </w:r>
          </w:p>
        </w:tc>
      </w:tr>
      <w:tr w:rsidR="00512332">
        <w:trPr>
          <w:trHeight w:val="454"/>
          <w:jc w:val="center"/>
        </w:trPr>
        <w:tc>
          <w:tcPr>
            <w:tcW w:w="2253" w:type="dxa"/>
            <w:vMerge/>
            <w:vAlign w:val="center"/>
          </w:tcPr>
          <w:p w:rsidR="00512332" w:rsidRDefault="00512332">
            <w:pPr>
              <w:snapToGrid w:val="0"/>
              <w:spacing w:line="320" w:lineRule="exact"/>
              <w:jc w:val="center"/>
              <w:rPr>
                <w:rFonts w:eastAsiaTheme="minorEastAsia"/>
                <w:color w:val="000000" w:themeColor="text1"/>
                <w:sz w:val="28"/>
                <w:szCs w:val="28"/>
              </w:rPr>
            </w:pP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剪力墙结构</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color w:val="000000" w:themeColor="text1"/>
                <w:sz w:val="28"/>
                <w:szCs w:val="28"/>
              </w:rPr>
              <w:t>0.35</w:t>
            </w:r>
          </w:p>
        </w:tc>
      </w:tr>
      <w:tr w:rsidR="00512332">
        <w:trPr>
          <w:trHeight w:val="454"/>
          <w:jc w:val="center"/>
        </w:trPr>
        <w:tc>
          <w:tcPr>
            <w:tcW w:w="2253" w:type="dxa"/>
            <w:vMerge/>
            <w:vAlign w:val="center"/>
          </w:tcPr>
          <w:p w:rsidR="00512332" w:rsidRDefault="00512332">
            <w:pPr>
              <w:snapToGrid w:val="0"/>
              <w:spacing w:line="320" w:lineRule="exact"/>
              <w:jc w:val="center"/>
              <w:rPr>
                <w:rFonts w:eastAsiaTheme="minorEastAsia"/>
                <w:color w:val="000000" w:themeColor="text1"/>
                <w:sz w:val="28"/>
                <w:szCs w:val="28"/>
              </w:rPr>
            </w:pP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框剪结构</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color w:val="000000" w:themeColor="text1"/>
                <w:sz w:val="28"/>
                <w:szCs w:val="28"/>
              </w:rPr>
              <w:t>0.30</w:t>
            </w:r>
          </w:p>
        </w:tc>
      </w:tr>
      <w:tr w:rsidR="00512332">
        <w:trPr>
          <w:trHeight w:val="454"/>
          <w:jc w:val="center"/>
        </w:trPr>
        <w:tc>
          <w:tcPr>
            <w:tcW w:w="2253" w:type="dxa"/>
            <w:vMerge w:val="restart"/>
            <w:vAlign w:val="center"/>
          </w:tcPr>
          <w:p w:rsidR="00512332" w:rsidRDefault="00E80EF5">
            <w:pPr>
              <w:snapToGrid w:val="0"/>
              <w:spacing w:line="320" w:lineRule="exact"/>
              <w:jc w:val="center"/>
              <w:rPr>
                <w:rFonts w:eastAsiaTheme="minorEastAsia"/>
                <w:color w:val="000000" w:themeColor="text1"/>
                <w:sz w:val="28"/>
                <w:szCs w:val="28"/>
              </w:rPr>
            </w:pPr>
            <w:r>
              <w:rPr>
                <w:rFonts w:eastAsiaTheme="minorEastAsia"/>
                <w:color w:val="000000" w:themeColor="text1"/>
                <w:sz w:val="28"/>
                <w:szCs w:val="28"/>
              </w:rPr>
              <w:t>7</w:t>
            </w:r>
            <w:r>
              <w:rPr>
                <w:rFonts w:eastAsiaTheme="minorEastAsia" w:hAnsiTheme="minorEastAsia"/>
                <w:color w:val="000000" w:themeColor="text1"/>
                <w:sz w:val="28"/>
                <w:szCs w:val="28"/>
              </w:rPr>
              <w:t>度</w:t>
            </w: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框架结构</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color w:val="000000" w:themeColor="text1"/>
                <w:sz w:val="28"/>
                <w:szCs w:val="28"/>
              </w:rPr>
              <w:t>0.28</w:t>
            </w:r>
          </w:p>
        </w:tc>
      </w:tr>
      <w:tr w:rsidR="00512332">
        <w:trPr>
          <w:trHeight w:val="454"/>
          <w:jc w:val="center"/>
        </w:trPr>
        <w:tc>
          <w:tcPr>
            <w:tcW w:w="2253" w:type="dxa"/>
            <w:vMerge/>
            <w:vAlign w:val="center"/>
          </w:tcPr>
          <w:p w:rsidR="00512332" w:rsidRDefault="00512332">
            <w:pPr>
              <w:snapToGrid w:val="0"/>
              <w:spacing w:line="320" w:lineRule="exact"/>
              <w:ind w:firstLine="420"/>
              <w:jc w:val="center"/>
              <w:rPr>
                <w:rFonts w:eastAsiaTheme="minorEastAsia"/>
                <w:color w:val="000000" w:themeColor="text1"/>
                <w:sz w:val="28"/>
                <w:szCs w:val="28"/>
              </w:rPr>
            </w:pP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剪力墙结构</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color w:val="000000" w:themeColor="text1"/>
                <w:sz w:val="28"/>
                <w:szCs w:val="28"/>
              </w:rPr>
              <w:t>0.38</w:t>
            </w:r>
          </w:p>
        </w:tc>
      </w:tr>
      <w:tr w:rsidR="00512332">
        <w:trPr>
          <w:trHeight w:val="454"/>
          <w:jc w:val="center"/>
        </w:trPr>
        <w:tc>
          <w:tcPr>
            <w:tcW w:w="2253" w:type="dxa"/>
            <w:vMerge/>
            <w:vAlign w:val="center"/>
          </w:tcPr>
          <w:p w:rsidR="00512332" w:rsidRDefault="00512332">
            <w:pPr>
              <w:snapToGrid w:val="0"/>
              <w:spacing w:line="320" w:lineRule="exact"/>
              <w:ind w:firstLine="420"/>
              <w:jc w:val="center"/>
              <w:rPr>
                <w:rFonts w:eastAsiaTheme="minorEastAsia"/>
                <w:color w:val="000000" w:themeColor="text1"/>
                <w:sz w:val="28"/>
                <w:szCs w:val="28"/>
              </w:rPr>
            </w:pPr>
          </w:p>
        </w:tc>
        <w:tc>
          <w:tcPr>
            <w:tcW w:w="2899"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hAnsiTheme="minorEastAsia"/>
                <w:color w:val="000000" w:themeColor="text1"/>
                <w:sz w:val="28"/>
                <w:szCs w:val="28"/>
              </w:rPr>
              <w:t>框剪结构</w:t>
            </w:r>
          </w:p>
        </w:tc>
        <w:tc>
          <w:tcPr>
            <w:tcW w:w="4022" w:type="dxa"/>
            <w:vAlign w:val="center"/>
          </w:tcPr>
          <w:p w:rsidR="00512332" w:rsidRDefault="00E80EF5">
            <w:pPr>
              <w:snapToGrid w:val="0"/>
              <w:spacing w:line="320" w:lineRule="exact"/>
              <w:ind w:firstLine="420"/>
              <w:jc w:val="center"/>
              <w:rPr>
                <w:rFonts w:eastAsiaTheme="minorEastAsia"/>
                <w:color w:val="000000" w:themeColor="text1"/>
                <w:sz w:val="28"/>
                <w:szCs w:val="28"/>
              </w:rPr>
            </w:pPr>
            <w:r>
              <w:rPr>
                <w:rFonts w:eastAsiaTheme="minorEastAsia"/>
                <w:color w:val="000000" w:themeColor="text1"/>
                <w:sz w:val="28"/>
                <w:szCs w:val="28"/>
              </w:rPr>
              <w:t>0.33</w:t>
            </w:r>
          </w:p>
        </w:tc>
      </w:tr>
    </w:tbl>
    <w:p w:rsidR="00512332" w:rsidRDefault="00E80EF5">
      <w:pPr>
        <w:pStyle w:val="4"/>
        <w:spacing w:before="120"/>
      </w:pPr>
      <w:r>
        <w:rPr>
          <w:rFonts w:hint="eastAsia"/>
          <w:b/>
        </w:rPr>
        <w:t>4.1.3</w:t>
      </w:r>
      <w:r>
        <w:t xml:space="preserve">  </w:t>
      </w:r>
      <w:r>
        <w:t>现浇混凝土结构的柱、承重墙等主体结构竖向构件施工中采用高精度模板时，其应用比例应按下式计算：</w:t>
      </w:r>
    </w:p>
    <w:p w:rsidR="00512332" w:rsidRDefault="00512332">
      <w:pPr>
        <w:adjustRightInd w:val="0"/>
        <w:snapToGrid w:val="0"/>
        <w:spacing w:line="240" w:lineRule="auto"/>
        <w:ind w:firstLineChars="150" w:firstLine="450"/>
        <w:jc w:val="right"/>
        <w:rPr>
          <w:bCs/>
        </w:rPr>
      </w:pPr>
      <w:r w:rsidRPr="00512332">
        <w:rPr>
          <w:rFonts w:asciiTheme="minorEastAsia" w:eastAsiaTheme="minorEastAsia" w:hAnsiTheme="minorEastAsia"/>
          <w:color w:val="000000" w:themeColor="text1"/>
          <w:position w:val="-22"/>
        </w:rPr>
        <w:object w:dxaOrig="1680" w:dyaOrig="554">
          <v:shape id="_x0000_i1047" type="#_x0000_t75" style="width:82.5pt;height:26.25pt" o:ole="">
            <v:imagedata r:id="rId54" o:title=""/>
          </v:shape>
          <o:OLEObject Type="Embed" ProgID="Equation.AxMath" ShapeID="_x0000_i1047" DrawAspect="Content" ObjectID="_1606634842" r:id="rId55"/>
        </w:object>
      </w:r>
      <w:r w:rsidR="00E80EF5">
        <w:rPr>
          <w:rFonts w:asciiTheme="minorEastAsia" w:eastAsiaTheme="minorEastAsia" w:hAnsiTheme="minorEastAsia" w:hint="eastAsia"/>
          <w:color w:val="000000" w:themeColor="text1"/>
        </w:rPr>
        <w:t xml:space="preserve">                             </w:t>
      </w:r>
      <w:r w:rsidR="00E80EF5">
        <w:rPr>
          <w:rFonts w:eastAsiaTheme="minorEastAsia" w:hAnsiTheme="minorEastAsia"/>
          <w:szCs w:val="21"/>
        </w:rPr>
        <w:t>（</w:t>
      </w:r>
      <w:r w:rsidR="00E80EF5">
        <w:rPr>
          <w:rFonts w:eastAsiaTheme="minorEastAsia"/>
          <w:szCs w:val="21"/>
        </w:rPr>
        <w:t>4.</w:t>
      </w:r>
      <w:r w:rsidR="00E80EF5">
        <w:rPr>
          <w:rFonts w:eastAsiaTheme="minorEastAsia" w:hint="eastAsia"/>
          <w:szCs w:val="21"/>
        </w:rPr>
        <w:t>1</w:t>
      </w:r>
      <w:r w:rsidR="00E80EF5">
        <w:rPr>
          <w:rFonts w:eastAsiaTheme="minorEastAsia"/>
          <w:szCs w:val="21"/>
        </w:rPr>
        <w:t>.</w:t>
      </w:r>
      <w:r w:rsidR="00E80EF5">
        <w:rPr>
          <w:rFonts w:eastAsiaTheme="minorEastAsia" w:hint="eastAsia"/>
          <w:szCs w:val="21"/>
        </w:rPr>
        <w:t>3</w:t>
      </w:r>
      <w:r w:rsidR="00E80EF5">
        <w:rPr>
          <w:rFonts w:eastAsiaTheme="minorEastAsia" w:hAnsiTheme="minorEastAsia"/>
          <w:szCs w:val="21"/>
        </w:rPr>
        <w:t>）</w:t>
      </w:r>
      <w:r w:rsidR="00E80EF5">
        <w:rPr>
          <w:rFonts w:eastAsiaTheme="minorEastAsia"/>
          <w:szCs w:val="21"/>
        </w:rPr>
        <w:t xml:space="preserve"> </w:t>
      </w:r>
    </w:p>
    <w:tbl>
      <w:tblPr>
        <w:tblW w:w="9459" w:type="dxa"/>
        <w:tblLayout w:type="fixed"/>
        <w:tblLook w:val="04A0"/>
      </w:tblPr>
      <w:tblGrid>
        <w:gridCol w:w="1101"/>
        <w:gridCol w:w="666"/>
        <w:gridCol w:w="816"/>
        <w:gridCol w:w="6876"/>
      </w:tblGrid>
      <w:tr w:rsidR="00512332">
        <w:trPr>
          <w:trHeight w:val="340"/>
        </w:trPr>
        <w:tc>
          <w:tcPr>
            <w:tcW w:w="1101" w:type="dxa"/>
          </w:tcPr>
          <w:p w:rsidR="00512332" w:rsidRDefault="00E80EF5">
            <w:pPr>
              <w:rPr>
                <w:rFonts w:asciiTheme="minorEastAsia" w:eastAsiaTheme="minorEastAsia" w:hAnsiTheme="minorEastAsia"/>
                <w:szCs w:val="30"/>
              </w:rPr>
            </w:pPr>
            <w:r>
              <w:rPr>
                <w:rFonts w:asciiTheme="minorEastAsia" w:eastAsiaTheme="minorEastAsia" w:hAnsiTheme="minorEastAsia"/>
                <w:szCs w:val="30"/>
              </w:rPr>
              <w:t>式中：</w:t>
            </w:r>
          </w:p>
        </w:tc>
        <w:tc>
          <w:tcPr>
            <w:tcW w:w="666" w:type="dxa"/>
          </w:tcPr>
          <w:p w:rsidR="00512332" w:rsidRDefault="00512332">
            <w:pPr>
              <w:rPr>
                <w:rFonts w:asciiTheme="minorEastAsia" w:eastAsiaTheme="minorEastAsia" w:hAnsiTheme="minorEastAsia"/>
                <w:szCs w:val="30"/>
              </w:rPr>
            </w:pPr>
            <w:r w:rsidRPr="00512332">
              <w:rPr>
                <w:rFonts w:asciiTheme="minorEastAsia" w:eastAsiaTheme="minorEastAsia" w:hAnsiTheme="minorEastAsia"/>
                <w:color w:val="000000" w:themeColor="text1"/>
                <w:position w:val="-12"/>
                <w:szCs w:val="30"/>
              </w:rPr>
              <w:object w:dxaOrig="397" w:dyaOrig="362">
                <v:shape id="_x0000_i1048" type="#_x0000_t75" style="width:20.25pt;height:18pt" o:ole="">
                  <v:imagedata r:id="rId56" o:title=""/>
                </v:shape>
                <o:OLEObject Type="Embed" ProgID="Equation.AxMath" ShapeID="_x0000_i1048" DrawAspect="Content" ObjectID="_1606634843" r:id="rId57"/>
              </w:object>
            </w:r>
          </w:p>
        </w:tc>
        <w:tc>
          <w:tcPr>
            <w:tcW w:w="816" w:type="dxa"/>
          </w:tcPr>
          <w:p w:rsidR="00512332" w:rsidRDefault="00E80EF5">
            <w:pPr>
              <w:rPr>
                <w:rFonts w:asciiTheme="minorEastAsia" w:eastAsiaTheme="minorEastAsia" w:hAnsiTheme="minorEastAsia"/>
                <w:szCs w:val="30"/>
              </w:rPr>
            </w:pPr>
            <w:r>
              <w:rPr>
                <w:rFonts w:asciiTheme="minorEastAsia" w:eastAsiaTheme="minorEastAsia" w:hAnsiTheme="minorEastAsia"/>
                <w:szCs w:val="30"/>
              </w:rPr>
              <w:t>——</w:t>
            </w:r>
          </w:p>
        </w:tc>
        <w:tc>
          <w:tcPr>
            <w:tcW w:w="6876" w:type="dxa"/>
          </w:tcPr>
          <w:p w:rsidR="00512332" w:rsidRDefault="00E80EF5">
            <w:pPr>
              <w:rPr>
                <w:rFonts w:asciiTheme="minorEastAsia" w:eastAsiaTheme="minorEastAsia" w:hAnsiTheme="minorEastAsia"/>
                <w:szCs w:val="30"/>
              </w:rPr>
            </w:pPr>
            <w:r>
              <w:rPr>
                <w:rFonts w:asciiTheme="minorEastAsia" w:eastAsiaTheme="minorEastAsia" w:hAnsiTheme="minorEastAsia"/>
                <w:szCs w:val="30"/>
              </w:rPr>
              <w:t>柱、承重墙等主体结构竖向构件施工中高精度模板的应用比例；</w:t>
            </w:r>
          </w:p>
        </w:tc>
      </w:tr>
      <w:tr w:rsidR="00512332">
        <w:trPr>
          <w:trHeight w:val="340"/>
        </w:trPr>
        <w:tc>
          <w:tcPr>
            <w:tcW w:w="1101" w:type="dxa"/>
          </w:tcPr>
          <w:p w:rsidR="00512332" w:rsidRDefault="00512332">
            <w:pPr>
              <w:rPr>
                <w:rFonts w:asciiTheme="minorEastAsia" w:eastAsiaTheme="minorEastAsia" w:hAnsiTheme="minorEastAsia"/>
                <w:color w:val="000000" w:themeColor="text1"/>
                <w:szCs w:val="30"/>
              </w:rPr>
            </w:pPr>
          </w:p>
        </w:tc>
        <w:tc>
          <w:tcPr>
            <w:tcW w:w="666" w:type="dxa"/>
          </w:tcPr>
          <w:p w:rsidR="00512332" w:rsidRDefault="00512332">
            <w:pPr>
              <w:rPr>
                <w:rFonts w:asciiTheme="minorEastAsia" w:eastAsiaTheme="minorEastAsia" w:hAnsiTheme="minorEastAsia"/>
                <w:szCs w:val="30"/>
              </w:rPr>
            </w:pPr>
            <w:r w:rsidRPr="00512332">
              <w:rPr>
                <w:rFonts w:asciiTheme="minorEastAsia" w:eastAsiaTheme="minorEastAsia" w:hAnsiTheme="minorEastAsia"/>
                <w:color w:val="000000" w:themeColor="text1"/>
                <w:position w:val="-12"/>
                <w:szCs w:val="30"/>
              </w:rPr>
              <w:object w:dxaOrig="435" w:dyaOrig="362">
                <v:shape id="_x0000_i1049" type="#_x0000_t75" style="width:22.5pt;height:18pt" o:ole="">
                  <v:imagedata r:id="rId58" o:title=""/>
                </v:shape>
                <o:OLEObject Type="Embed" ProgID="Equation.AxMath" ShapeID="_x0000_i1049" DrawAspect="Content" ObjectID="_1606634844" r:id="rId59"/>
              </w:object>
            </w:r>
          </w:p>
        </w:tc>
        <w:tc>
          <w:tcPr>
            <w:tcW w:w="816" w:type="dxa"/>
          </w:tcPr>
          <w:p w:rsidR="00512332" w:rsidRDefault="00E80EF5">
            <w:pPr>
              <w:rPr>
                <w:rFonts w:asciiTheme="minorEastAsia" w:eastAsiaTheme="minorEastAsia" w:hAnsiTheme="minorEastAsia"/>
                <w:szCs w:val="30"/>
              </w:rPr>
            </w:pPr>
            <w:r>
              <w:rPr>
                <w:rFonts w:asciiTheme="minorEastAsia" w:eastAsiaTheme="minorEastAsia" w:hAnsiTheme="minorEastAsia"/>
                <w:szCs w:val="30"/>
              </w:rPr>
              <w:t>——</w:t>
            </w:r>
          </w:p>
        </w:tc>
        <w:tc>
          <w:tcPr>
            <w:tcW w:w="6876" w:type="dxa"/>
            <w:vAlign w:val="bottom"/>
          </w:tcPr>
          <w:p w:rsidR="00512332" w:rsidRDefault="00E80EF5">
            <w:pPr>
              <w:rPr>
                <w:rFonts w:asciiTheme="minorEastAsia" w:eastAsiaTheme="minorEastAsia" w:hAnsiTheme="minorEastAsia"/>
                <w:szCs w:val="30"/>
              </w:rPr>
            </w:pPr>
            <w:r>
              <w:rPr>
                <w:rFonts w:asciiTheme="minorEastAsia" w:eastAsiaTheme="minorEastAsia" w:hAnsiTheme="minorEastAsia"/>
                <w:szCs w:val="30"/>
              </w:rPr>
              <w:t>柱、承重墙等主体结构竖向构件施工中采用高精度模板的现浇混凝土体积之和。</w:t>
            </w:r>
          </w:p>
        </w:tc>
      </w:tr>
    </w:tbl>
    <w:p w:rsidR="00512332" w:rsidRDefault="00E80EF5">
      <w:pPr>
        <w:pStyle w:val="4"/>
        <w:spacing w:before="120"/>
      </w:pPr>
      <w:r>
        <w:rPr>
          <w:rFonts w:hint="eastAsia"/>
          <w:b/>
        </w:rPr>
        <w:t>4.1.4</w:t>
      </w:r>
      <w:r>
        <w:t xml:space="preserve">  </w:t>
      </w:r>
      <w:r>
        <w:t>现浇混凝土结构的柱、承重墙等主体结构竖向构件施工中采用成型钢筋时，其应用比例应按下式计算：</w:t>
      </w:r>
    </w:p>
    <w:p w:rsidR="00512332" w:rsidRDefault="00512332" w:rsidP="009D0024">
      <w:pPr>
        <w:pStyle w:val="af2"/>
        <w:shd w:val="clear" w:color="auto" w:fill="FFFFFF"/>
        <w:adjustRightInd w:val="0"/>
        <w:snapToGrid w:val="0"/>
        <w:spacing w:beforeLines="50" w:beforeAutospacing="0" w:afterLines="50" w:afterAutospacing="0" w:line="240" w:lineRule="auto"/>
        <w:jc w:val="right"/>
        <w:rPr>
          <w:rFonts w:ascii="Times New Roman" w:eastAsiaTheme="minorEastAsia" w:hAnsi="Times New Roman" w:cs="Times New Roman"/>
          <w:sz w:val="21"/>
          <w:szCs w:val="21"/>
        </w:rPr>
      </w:pPr>
      <w:r w:rsidRPr="00512332">
        <w:rPr>
          <w:rFonts w:asciiTheme="minorEastAsia" w:eastAsiaTheme="minorEastAsia" w:hAnsiTheme="minorEastAsia"/>
          <w:color w:val="000000" w:themeColor="text1"/>
          <w:position w:val="-22"/>
        </w:rPr>
        <w:object w:dxaOrig="1680" w:dyaOrig="554">
          <v:shape id="_x0000_i1050" type="#_x0000_t75" style="width:82.5pt;height:26.25pt" o:ole="">
            <v:imagedata r:id="rId60" o:title=""/>
          </v:shape>
          <o:OLEObject Type="Embed" ProgID="Equation.AxMath" ShapeID="_x0000_i1050" DrawAspect="Content" ObjectID="_1606634845" r:id="rId61"/>
        </w:object>
      </w:r>
      <w:r w:rsidR="00E80EF5">
        <w:rPr>
          <w:rFonts w:asciiTheme="minorEastAsia" w:eastAsiaTheme="minorEastAsia" w:hAnsiTheme="minorEastAsia" w:hint="eastAsia"/>
          <w:color w:val="000000" w:themeColor="text1"/>
        </w:rPr>
        <w:t xml:space="preserve">              </w:t>
      </w:r>
      <w:r w:rsidR="00E80EF5">
        <w:rPr>
          <w:rFonts w:ascii="Times New Roman" w:eastAsiaTheme="minorEastAsia" w:hAnsi="Times New Roman" w:cs="Times New Roman"/>
          <w:sz w:val="21"/>
          <w:szCs w:val="21"/>
        </w:rPr>
        <w:t xml:space="preserve">              </w:t>
      </w:r>
      <w:r w:rsidR="00E80EF5">
        <w:rPr>
          <w:rStyle w:val="4Char"/>
        </w:rPr>
        <w:t xml:space="preserve"> </w:t>
      </w:r>
      <w:r w:rsidR="00E80EF5">
        <w:rPr>
          <w:rStyle w:val="4Char"/>
        </w:rPr>
        <w:t>（</w:t>
      </w:r>
      <w:r w:rsidR="00E80EF5">
        <w:rPr>
          <w:rStyle w:val="4Char"/>
        </w:rPr>
        <w:t>4.</w:t>
      </w:r>
      <w:r w:rsidR="00E80EF5">
        <w:rPr>
          <w:rStyle w:val="4Char"/>
          <w:rFonts w:hint="eastAsia"/>
        </w:rPr>
        <w:t>1</w:t>
      </w:r>
      <w:r w:rsidR="00E80EF5">
        <w:rPr>
          <w:rStyle w:val="4Char"/>
        </w:rPr>
        <w:t>.</w:t>
      </w:r>
      <w:r w:rsidR="00E80EF5">
        <w:rPr>
          <w:rStyle w:val="4Char"/>
          <w:rFonts w:hint="eastAsia"/>
        </w:rPr>
        <w:t>4</w:t>
      </w:r>
      <w:r w:rsidR="00E80EF5">
        <w:rPr>
          <w:rStyle w:val="4Char"/>
        </w:rPr>
        <w:t>）</w:t>
      </w:r>
    </w:p>
    <w:tbl>
      <w:tblPr>
        <w:tblW w:w="9459" w:type="dxa"/>
        <w:tblLayout w:type="fixed"/>
        <w:tblLook w:val="04A0"/>
      </w:tblPr>
      <w:tblGrid>
        <w:gridCol w:w="1101"/>
        <w:gridCol w:w="577"/>
        <w:gridCol w:w="816"/>
        <w:gridCol w:w="6965"/>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31" w:dyaOrig="301">
                <v:shape id="_x0000_i1051" type="#_x0000_t75" style="width:18pt;height:14.25pt" o:ole="">
                  <v:imagedata r:id="rId62" o:title=""/>
                </v:shape>
                <o:OLEObject Type="Embed" ProgID="Equation.AxMath" ShapeID="_x0000_i1051" DrawAspect="Content" ObjectID="_1606634846" r:id="rId6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柱、承重墙等主体结构竖向构件施工中成型钢筋的</w:t>
            </w:r>
            <w:r>
              <w:rPr>
                <w:rFonts w:asciiTheme="minorEastAsia" w:eastAsiaTheme="minorEastAsia" w:hAnsiTheme="minorEastAsia"/>
              </w:rPr>
              <w:lastRenderedPageBreak/>
              <w:t>应用比例；</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63" w:dyaOrig="302">
                <v:shape id="_x0000_i1052" type="#_x0000_t75" style="width:18pt;height:14.25pt" o:ole="">
                  <v:imagedata r:id="rId64" o:title=""/>
                </v:shape>
                <o:OLEObject Type="Embed" ProgID="Equation.AxMath" ShapeID="_x0000_i1052" DrawAspect="Content" ObjectID="_1606634847" r:id="rId65"/>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柱、承重墙等主体结构竖向构件施工中采用成型钢筋的现浇混凝土体积之和；</w:t>
            </w:r>
          </w:p>
        </w:tc>
      </w:tr>
    </w:tbl>
    <w:p w:rsidR="00512332" w:rsidRDefault="00E80EF5">
      <w:pPr>
        <w:pStyle w:val="4"/>
        <w:spacing w:before="120"/>
      </w:pPr>
      <w:r>
        <w:rPr>
          <w:rFonts w:hint="eastAsia"/>
          <w:b/>
        </w:rPr>
        <w:t>4.1.5</w:t>
      </w:r>
      <w:r>
        <w:t xml:space="preserve">  </w:t>
      </w:r>
      <w:r>
        <w:t>混凝土结构的</w:t>
      </w:r>
      <w:r>
        <w:rPr>
          <w:rFonts w:eastAsiaTheme="minorEastAsia" w:hAnsiTheme="minorEastAsia"/>
          <w:color w:val="000000"/>
          <w:szCs w:val="21"/>
        </w:rPr>
        <w:t>柱、支撑、承重墙、延性墙板等主体结构竖向构件中预制部品部件的应用比例，</w:t>
      </w:r>
      <w:r>
        <w:t>按本</w:t>
      </w:r>
      <w:r>
        <w:rPr>
          <w:rFonts w:hint="eastAsia"/>
        </w:rPr>
        <w:t>细则</w:t>
      </w:r>
      <w:r>
        <w:t>第</w:t>
      </w:r>
      <w:r>
        <w:t>4.</w:t>
      </w:r>
      <w:r>
        <w:rPr>
          <w:rFonts w:hint="eastAsia"/>
        </w:rPr>
        <w:t>1</w:t>
      </w:r>
      <w:r>
        <w:t>.</w:t>
      </w:r>
      <w:r>
        <w:rPr>
          <w:rFonts w:hint="eastAsia"/>
        </w:rPr>
        <w:t>2</w:t>
      </w:r>
      <w:r>
        <w:t>条计算结果不小于</w:t>
      </w:r>
      <w:r>
        <w:t>35%</w:t>
      </w:r>
      <w:r>
        <w:t>，且柱、承重墙等主体结构竖向构件施工中采用高精度模板时，竖向构件总评价分值可取按预制部品</w:t>
      </w:r>
      <w:r>
        <w:rPr>
          <w:rFonts w:eastAsiaTheme="minorEastAsia" w:hAnsiTheme="minorEastAsia"/>
          <w:color w:val="000000"/>
          <w:szCs w:val="21"/>
        </w:rPr>
        <w:t>部件的应用比例确定的评价分值和</w:t>
      </w:r>
      <w:r>
        <w:t>修正后的按现场采用高精度模板确定的评价分值之和，且竖向构件总评价分值不超过</w:t>
      </w:r>
      <w:r>
        <w:t>30</w:t>
      </w:r>
      <w:r>
        <w:t>分</w:t>
      </w:r>
      <w:r>
        <w:rPr>
          <w:rFonts w:hint="eastAsia"/>
        </w:rPr>
        <w:t>；水平构件总</w:t>
      </w:r>
      <w:r>
        <w:t>评价</w:t>
      </w:r>
      <w:r>
        <w:rPr>
          <w:rFonts w:hint="eastAsia"/>
        </w:rPr>
        <w:t>分值不超过</w:t>
      </w:r>
      <w:r>
        <w:rPr>
          <w:rFonts w:hint="eastAsia"/>
        </w:rPr>
        <w:t>20</w:t>
      </w:r>
      <w:r>
        <w:rPr>
          <w:rFonts w:hint="eastAsia"/>
        </w:rPr>
        <w:t>分</w:t>
      </w:r>
      <w:r>
        <w:t>。</w:t>
      </w:r>
    </w:p>
    <w:p w:rsidR="00512332" w:rsidRDefault="00E80EF5">
      <w:pPr>
        <w:pStyle w:val="4"/>
        <w:spacing w:before="120"/>
      </w:pPr>
      <w:r>
        <w:rPr>
          <w:rFonts w:hint="eastAsia"/>
          <w:b/>
        </w:rPr>
        <w:t>4.1.6</w:t>
      </w:r>
      <w:r>
        <w:t xml:space="preserve">  </w:t>
      </w:r>
      <w:r>
        <w:t>现浇混凝土结构的柱、承重墙等主体结构竖向构件施工中同时采用高精度模板和成型钢筋时，可分别按本标准第</w:t>
      </w:r>
      <w:r>
        <w:t>4.</w:t>
      </w:r>
      <w:r>
        <w:rPr>
          <w:rFonts w:hint="eastAsia"/>
        </w:rPr>
        <w:t>1</w:t>
      </w:r>
      <w:r>
        <w:t>.</w:t>
      </w:r>
      <w:r>
        <w:rPr>
          <w:rFonts w:hint="eastAsia"/>
        </w:rPr>
        <w:t>3</w:t>
      </w:r>
      <w:r>
        <w:t>条和第</w:t>
      </w:r>
      <w:r>
        <w:t>4.</w:t>
      </w:r>
      <w:r>
        <w:rPr>
          <w:rFonts w:hint="eastAsia"/>
        </w:rPr>
        <w:t>1</w:t>
      </w:r>
      <w:r>
        <w:t>.</w:t>
      </w:r>
      <w:r>
        <w:rPr>
          <w:rFonts w:hint="eastAsia"/>
        </w:rPr>
        <w:t>4</w:t>
      </w:r>
      <w:r>
        <w:t>条计算应用比例，确定评价分值；竖向构件评价分值取两部分评价分值之和。</w:t>
      </w:r>
    </w:p>
    <w:p w:rsidR="00512332" w:rsidRDefault="00E80EF5">
      <w:pPr>
        <w:pStyle w:val="4"/>
        <w:spacing w:before="120"/>
      </w:pPr>
      <w:r>
        <w:rPr>
          <w:rFonts w:hint="eastAsia"/>
          <w:b/>
        </w:rPr>
        <w:t>4.1.7</w:t>
      </w:r>
      <w:r>
        <w:rPr>
          <w:b/>
        </w:rPr>
        <w:t xml:space="preserve">  </w:t>
      </w:r>
      <w:r>
        <w:t>装配式钢结构建筑和装配式木结构建筑主体结构竖向构件评价分值取</w:t>
      </w:r>
      <w:r>
        <w:t>30</w:t>
      </w:r>
      <w:r>
        <w:t>分。</w:t>
      </w:r>
    </w:p>
    <w:p w:rsidR="00512332" w:rsidRDefault="00E80EF5">
      <w:pPr>
        <w:pStyle w:val="4"/>
        <w:spacing w:before="120"/>
      </w:pPr>
      <w:r>
        <w:rPr>
          <w:rFonts w:hint="eastAsia"/>
          <w:b/>
        </w:rPr>
        <w:t>4.1.8</w:t>
      </w:r>
      <w:r>
        <w:t xml:space="preserve">  </w:t>
      </w:r>
      <w:r>
        <w:t>钢框架</w:t>
      </w:r>
      <w:r>
        <w:t>—</w:t>
      </w:r>
      <w:r>
        <w:t>混凝土核心筒（剪力墙）混合结构的柱采用钢柱或钢管混凝柱、梁采用钢梁、混凝土核心筒（剪力墙）施工应用高精度模板施工工艺时，主体结构竖向构件评价分值取</w:t>
      </w:r>
      <w:r>
        <w:t>25</w:t>
      </w:r>
      <w:r>
        <w:t>分。</w:t>
      </w:r>
    </w:p>
    <w:p w:rsidR="00512332" w:rsidRDefault="00E80EF5">
      <w:pPr>
        <w:pStyle w:val="4"/>
        <w:spacing w:before="120"/>
        <w:rPr>
          <w:color w:val="000000"/>
        </w:rPr>
      </w:pPr>
      <w:r>
        <w:rPr>
          <w:rFonts w:hint="eastAsia"/>
          <w:b/>
        </w:rPr>
        <w:t>4.1.9</w:t>
      </w:r>
      <w:r>
        <w:rPr>
          <w:rFonts w:hint="eastAsia"/>
        </w:rPr>
        <w:t xml:space="preserve"> </w:t>
      </w:r>
      <w:r>
        <w:rPr>
          <w:rFonts w:hint="eastAsia"/>
        </w:rPr>
        <w:t>梁、楼板（屋面板）、空调板等构件中预制部品部件的应用比例应按下式计算</w:t>
      </w:r>
      <w:r>
        <w:rPr>
          <w:rFonts w:hint="eastAsia"/>
          <w:color w:val="000000"/>
        </w:rPr>
        <w:t>：</w:t>
      </w:r>
    </w:p>
    <w:p w:rsidR="00512332" w:rsidRDefault="00512332">
      <w:pPr>
        <w:widowControl/>
        <w:adjustRightInd w:val="0"/>
        <w:snapToGrid w:val="0"/>
        <w:spacing w:line="240" w:lineRule="auto"/>
        <w:jc w:val="right"/>
        <w:rPr>
          <w:bCs/>
        </w:rPr>
      </w:pPr>
      <w:r w:rsidRPr="00512332">
        <w:rPr>
          <w:rFonts w:asciiTheme="minorEastAsia" w:eastAsiaTheme="minorEastAsia" w:hAnsiTheme="minorEastAsia"/>
          <w:color w:val="000000" w:themeColor="text1"/>
          <w:position w:val="-22"/>
        </w:rPr>
        <w:object w:dxaOrig="1588" w:dyaOrig="554">
          <v:shape id="_x0000_i1053" type="#_x0000_t75" style="width:77.25pt;height:26.25pt" o:ole="">
            <v:imagedata r:id="rId66" o:title=""/>
          </v:shape>
          <o:OLEObject Type="Embed" ProgID="Equation.AxMath" ShapeID="_x0000_i1053" DrawAspect="Content" ObjectID="_1606634848" r:id="rId67"/>
        </w:object>
      </w:r>
      <w:r w:rsidR="00E80EF5">
        <w:rPr>
          <w:rFonts w:asciiTheme="minorEastAsia" w:eastAsiaTheme="minorEastAsia" w:hAnsiTheme="minorEastAsia" w:hint="eastAsia"/>
          <w:color w:val="000000" w:themeColor="text1"/>
        </w:rPr>
        <w:t xml:space="preserve">                         </w:t>
      </w:r>
      <w:r w:rsidR="00E80EF5">
        <w:rPr>
          <w:rFonts w:eastAsiaTheme="minorEastAsia" w:hAnsiTheme="minorEastAsia"/>
          <w:color w:val="000000"/>
          <w:szCs w:val="21"/>
        </w:rPr>
        <w:t>（</w:t>
      </w:r>
      <w:r w:rsidR="00E80EF5">
        <w:rPr>
          <w:rFonts w:eastAsiaTheme="minorEastAsia"/>
          <w:color w:val="000000"/>
          <w:szCs w:val="21"/>
        </w:rPr>
        <w:t>4.1.</w:t>
      </w:r>
      <w:r w:rsidR="00E80EF5">
        <w:rPr>
          <w:rFonts w:eastAsiaTheme="minorEastAsia" w:hint="eastAsia"/>
          <w:color w:val="000000"/>
          <w:szCs w:val="21"/>
        </w:rPr>
        <w:t>9</w:t>
      </w:r>
      <w:r w:rsidR="00E80EF5">
        <w:rPr>
          <w:rFonts w:eastAsiaTheme="minorEastAsia" w:hAnsiTheme="minorEastAsia"/>
          <w:color w:val="000000"/>
          <w:szCs w:val="21"/>
        </w:rPr>
        <w:t>）</w:t>
      </w:r>
      <w:r w:rsidR="00E80EF5">
        <w:rPr>
          <w:rFonts w:asciiTheme="minorEastAsia" w:eastAsiaTheme="minorEastAsia" w:hAnsiTheme="minorEastAsia" w:hint="eastAsia"/>
          <w:color w:val="000000"/>
          <w:szCs w:val="21"/>
        </w:rPr>
        <w:t xml:space="preserve"> </w:t>
      </w:r>
    </w:p>
    <w:tbl>
      <w:tblPr>
        <w:tblW w:w="9459" w:type="dxa"/>
        <w:tblLayout w:type="fixed"/>
        <w:tblLook w:val="04A0"/>
      </w:tblPr>
      <w:tblGrid>
        <w:gridCol w:w="1101"/>
        <w:gridCol w:w="576"/>
        <w:gridCol w:w="816"/>
        <w:gridCol w:w="6966"/>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6"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55" w:dyaOrig="302">
                <v:shape id="_x0000_i1054" type="#_x0000_t75" style="width:12pt;height:14.25pt" o:ole="">
                  <v:imagedata r:id="rId68" o:title=""/>
                </v:shape>
                <o:OLEObject Type="Embed" ProgID="Equation.AxMath" ShapeID="_x0000_i1054" DrawAspect="Content" ObjectID="_1606634849" r:id="rId69"/>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6" w:type="dxa"/>
          </w:tcPr>
          <w:p w:rsidR="00512332" w:rsidRDefault="00E80EF5">
            <w:pPr>
              <w:rPr>
                <w:rFonts w:asciiTheme="minorEastAsia" w:eastAsiaTheme="minorEastAsia" w:hAnsiTheme="minorEastAsia"/>
              </w:rPr>
            </w:pPr>
            <w:r>
              <w:rPr>
                <w:rFonts w:asciiTheme="minorEastAsia" w:eastAsiaTheme="minorEastAsia" w:hAnsiTheme="minorEastAsia" w:hint="eastAsia"/>
              </w:rPr>
              <w:t>梁、楼板（屋面板）、楼梯、阳台、空调板等构件中预制部品部件的应用比例；</w:t>
            </w:r>
            <w:r>
              <w:rPr>
                <w:rFonts w:asciiTheme="minorEastAsia" w:eastAsiaTheme="minorEastAsia" w:hAnsiTheme="minorEastAsia" w:hint="eastAsia"/>
              </w:rPr>
              <w:t>  </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6"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05" w:dyaOrig="302">
                <v:shape id="_x0000_i1055" type="#_x0000_t75" style="width:15.75pt;height:14.25pt" o:ole="">
                  <v:imagedata r:id="rId70" o:title=""/>
                </v:shape>
                <o:OLEObject Type="Embed" ProgID="Equation.AxMath" ShapeID="_x0000_i1055" DrawAspect="Content" ObjectID="_1606634850" r:id="rId71"/>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6" w:type="dxa"/>
          </w:tcPr>
          <w:p w:rsidR="00512332" w:rsidRDefault="00E80EF5">
            <w:pPr>
              <w:rPr>
                <w:rFonts w:asciiTheme="minorEastAsia" w:eastAsiaTheme="minorEastAsia" w:hAnsiTheme="minorEastAsia"/>
              </w:rPr>
            </w:pPr>
            <w:r>
              <w:rPr>
                <w:rFonts w:asciiTheme="minorEastAsia" w:eastAsiaTheme="minorEastAsia" w:hAnsiTheme="minorEastAsia" w:hint="eastAsia"/>
                <w:color w:val="000000" w:themeColor="text1"/>
              </w:rPr>
              <w:t>所有楼层（含屋面）预制装配的梁、楼板（屋面板）、楼梯、</w:t>
            </w:r>
            <w:r>
              <w:rPr>
                <w:rFonts w:asciiTheme="minorEastAsia" w:eastAsiaTheme="minorEastAsia" w:hAnsiTheme="minorEastAsia" w:hint="eastAsia"/>
              </w:rPr>
              <w:t>阳台和空调板等构件的水平投影面积之和。</w:t>
            </w:r>
            <w:r>
              <w:rPr>
                <w:rFonts w:asciiTheme="minorEastAsia" w:eastAsiaTheme="minorEastAsia" w:hAnsiTheme="minorEastAsia" w:hint="eastAsia"/>
              </w:rPr>
              <w:t> </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6" w:type="dxa"/>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0"/>
              </w:rPr>
              <w:object w:dxaOrig="347" w:dyaOrig="301">
                <v:shape id="_x0000_i1056" type="#_x0000_t75" style="width:18pt;height:14.25pt" o:ole="">
                  <v:imagedata r:id="rId72" o:title=""/>
                </v:shape>
                <o:OLEObject Type="Embed" ProgID="Equation.AxMath" ShapeID="_x0000_i1056" DrawAspect="Content" ObjectID="_1606634851" r:id="rId7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6" w:type="dxa"/>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各层楼屋层面（</w:t>
            </w:r>
            <w:r>
              <w:rPr>
                <w:rFonts w:asciiTheme="minorEastAsia" w:eastAsiaTheme="minorEastAsia" w:hAnsiTheme="minorEastAsia" w:hint="eastAsia"/>
                <w:bCs/>
                <w:color w:val="000000" w:themeColor="text1"/>
              </w:rPr>
              <w:t>扣除楼电梯、开洞</w:t>
            </w:r>
            <w:r>
              <w:rPr>
                <w:rFonts w:asciiTheme="minorEastAsia" w:eastAsiaTheme="minorEastAsia" w:hAnsiTheme="minorEastAsia" w:hint="eastAsia"/>
                <w:color w:val="000000" w:themeColor="text1"/>
              </w:rPr>
              <w:t>）水平投影面积之和</w:t>
            </w:r>
            <w:r>
              <w:rPr>
                <w:rFonts w:asciiTheme="minorEastAsia" w:eastAsiaTheme="minorEastAsia" w:hAnsiTheme="minorEastAsia" w:hint="eastAsia"/>
                <w:bCs/>
                <w:color w:val="000000" w:themeColor="text1"/>
              </w:rPr>
              <w:t>的</w:t>
            </w:r>
            <w:r>
              <w:rPr>
                <w:rFonts w:asciiTheme="minorEastAsia" w:eastAsiaTheme="minorEastAsia" w:hAnsiTheme="minorEastAsia" w:hint="eastAsia"/>
                <w:bCs/>
                <w:color w:val="000000" w:themeColor="text1"/>
              </w:rPr>
              <w:t>95%</w:t>
            </w:r>
            <w:r>
              <w:rPr>
                <w:rFonts w:asciiTheme="minorEastAsia" w:eastAsiaTheme="minorEastAsia" w:hAnsiTheme="minorEastAsia" w:hint="eastAsia"/>
                <w:bCs/>
                <w:color w:val="000000" w:themeColor="text1"/>
              </w:rPr>
              <w:t>。</w:t>
            </w:r>
          </w:p>
        </w:tc>
      </w:tr>
    </w:tbl>
    <w:p w:rsidR="00512332" w:rsidRDefault="00E80EF5">
      <w:pPr>
        <w:pStyle w:val="4"/>
        <w:spacing w:before="120"/>
      </w:pPr>
      <w:r>
        <w:rPr>
          <w:rFonts w:hint="eastAsia"/>
          <w:b/>
        </w:rPr>
        <w:t>4.1.10</w:t>
      </w:r>
      <w:r>
        <w:t xml:space="preserve">  </w:t>
      </w:r>
      <w:r>
        <w:rPr>
          <w:rFonts w:hint="eastAsia"/>
        </w:rPr>
        <w:t>预制楼梯的</w:t>
      </w:r>
      <w:r>
        <w:rPr>
          <w:rFonts w:hint="eastAsia"/>
          <w:color w:val="000000"/>
          <w:szCs w:val="21"/>
        </w:rPr>
        <w:t>应用比例应按下式计算：</w:t>
      </w:r>
    </w:p>
    <w:p w:rsidR="00512332" w:rsidRDefault="00512332">
      <w:pPr>
        <w:pStyle w:val="4"/>
        <w:spacing w:before="120" w:line="240" w:lineRule="auto"/>
        <w:jc w:val="right"/>
      </w:pPr>
      <w:r w:rsidRPr="00512332">
        <w:rPr>
          <w:position w:val="-22"/>
        </w:rPr>
        <w:object w:dxaOrig="1536" w:dyaOrig="554">
          <v:shape id="_x0000_i1057" type="#_x0000_t75" style="width:70.5pt;height:26.25pt" o:ole="">
            <v:imagedata r:id="rId74" o:title=""/>
          </v:shape>
          <o:OLEObject Type="Embed" ProgID="Equation.AxMath" ShapeID="_x0000_i1057" DrawAspect="Content" ObjectID="_1606634852" r:id="rId75"/>
        </w:object>
      </w:r>
      <w:r w:rsidR="00E80EF5">
        <w:rPr>
          <w:rFonts w:hint="eastAsia"/>
        </w:rPr>
        <w:t xml:space="preserve">                            </w:t>
      </w:r>
      <w:r w:rsidR="00E80EF5">
        <w:t xml:space="preserve"> (4.1.</w:t>
      </w:r>
      <w:r w:rsidR="00E80EF5">
        <w:rPr>
          <w:rFonts w:hint="eastAsia"/>
        </w:rPr>
        <w:t>10</w:t>
      </w:r>
      <w:r w:rsidR="00E80EF5">
        <w:t>)</w:t>
      </w:r>
    </w:p>
    <w:tbl>
      <w:tblPr>
        <w:tblW w:w="9459" w:type="dxa"/>
        <w:tblLayout w:type="fixed"/>
        <w:tblLook w:val="04A0"/>
      </w:tblPr>
      <w:tblGrid>
        <w:gridCol w:w="1101"/>
        <w:gridCol w:w="532"/>
        <w:gridCol w:w="816"/>
        <w:gridCol w:w="7010"/>
      </w:tblGrid>
      <w:tr w:rsidR="00512332">
        <w:trPr>
          <w:trHeight w:val="340"/>
        </w:trPr>
        <w:tc>
          <w:tcPr>
            <w:tcW w:w="1101" w:type="dxa"/>
            <w:vAlign w:val="bottom"/>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32" w:type="dxa"/>
            <w:vAlign w:val="bottom"/>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38" w:dyaOrig="301">
                <v:shape id="_x0000_i1058" type="#_x0000_t75" style="width:11.25pt;height:14.25pt" o:ole="">
                  <v:imagedata r:id="rId76" o:title=""/>
                </v:shape>
                <o:OLEObject Type="Embed" ProgID="Equation.AxMath" ShapeID="_x0000_i1058" DrawAspect="Content" ObjectID="_1606634853" r:id="rId77"/>
              </w:object>
            </w:r>
          </w:p>
        </w:tc>
        <w:tc>
          <w:tcPr>
            <w:tcW w:w="816" w:type="dxa"/>
            <w:vAlign w:val="bottom"/>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10"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建筑单体预制楼梯的应用比例；</w:t>
            </w:r>
          </w:p>
        </w:tc>
      </w:tr>
      <w:tr w:rsidR="00512332">
        <w:trPr>
          <w:trHeight w:val="340"/>
        </w:trPr>
        <w:tc>
          <w:tcPr>
            <w:tcW w:w="1101" w:type="dxa"/>
            <w:vAlign w:val="bottom"/>
          </w:tcPr>
          <w:p w:rsidR="00512332" w:rsidRDefault="00512332">
            <w:pPr>
              <w:rPr>
                <w:rFonts w:asciiTheme="minorEastAsia" w:eastAsiaTheme="minorEastAsia" w:hAnsiTheme="minorEastAsia"/>
                <w:color w:val="000000" w:themeColor="text1"/>
              </w:rPr>
            </w:pPr>
          </w:p>
        </w:tc>
        <w:tc>
          <w:tcPr>
            <w:tcW w:w="532" w:type="dxa"/>
            <w:vAlign w:val="bottom"/>
          </w:tcPr>
          <w:p w:rsidR="00512332" w:rsidRDefault="00512332">
            <w:pPr>
              <w:rPr>
                <w:rFonts w:asciiTheme="minorEastAsia" w:eastAsiaTheme="minorEastAsia" w:hAnsiTheme="minorEastAsia"/>
              </w:rPr>
            </w:pPr>
            <w:r w:rsidRPr="00512332">
              <w:rPr>
                <w:rFonts w:asciiTheme="minorEastAsia" w:eastAsiaTheme="minorEastAsia" w:hAnsiTheme="minorEastAsia"/>
                <w:position w:val="-10"/>
              </w:rPr>
              <w:object w:dxaOrig="311" w:dyaOrig="301">
                <v:shape id="_x0000_i1059" type="#_x0000_t75" style="width:15.75pt;height:14.25pt" o:ole="">
                  <v:imagedata r:id="rId78" o:title=""/>
                </v:shape>
                <o:OLEObject Type="Embed" ProgID="Equation.AxMath" ShapeID="_x0000_i1059" DrawAspect="Content" ObjectID="_1606634854" r:id="rId79"/>
              </w:object>
            </w:r>
          </w:p>
        </w:tc>
        <w:tc>
          <w:tcPr>
            <w:tcW w:w="816" w:type="dxa"/>
            <w:vAlign w:val="bottom"/>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10"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rPr>
              <w:t>建筑单体</w:t>
            </w:r>
            <w:r>
              <w:rPr>
                <w:rFonts w:asciiTheme="minorEastAsia" w:eastAsiaTheme="minorEastAsia" w:hAnsiTheme="minorEastAsia" w:hint="eastAsia"/>
                <w:color w:val="000000" w:themeColor="text1"/>
              </w:rPr>
              <w:t>预制楼梯</w:t>
            </w:r>
            <w:r>
              <w:rPr>
                <w:rFonts w:asciiTheme="minorEastAsia" w:eastAsiaTheme="minorEastAsia" w:hAnsiTheme="minorEastAsia"/>
              </w:rPr>
              <w:t>的总数量</w:t>
            </w:r>
            <w:r>
              <w:rPr>
                <w:rFonts w:asciiTheme="minorEastAsia" w:eastAsiaTheme="minorEastAsia" w:hAnsiTheme="minorEastAsia" w:hint="eastAsia"/>
                <w:color w:val="000000" w:themeColor="text1"/>
              </w:rPr>
              <w:t>；</w:t>
            </w:r>
          </w:p>
        </w:tc>
      </w:tr>
      <w:tr w:rsidR="00512332">
        <w:trPr>
          <w:trHeight w:val="340"/>
        </w:trPr>
        <w:tc>
          <w:tcPr>
            <w:tcW w:w="1101" w:type="dxa"/>
            <w:vAlign w:val="bottom"/>
          </w:tcPr>
          <w:p w:rsidR="00512332" w:rsidRDefault="00512332">
            <w:pPr>
              <w:rPr>
                <w:rFonts w:asciiTheme="minorEastAsia" w:eastAsiaTheme="minorEastAsia" w:hAnsiTheme="minorEastAsia"/>
                <w:color w:val="000000" w:themeColor="text1"/>
              </w:rPr>
            </w:pPr>
          </w:p>
        </w:tc>
        <w:tc>
          <w:tcPr>
            <w:tcW w:w="532" w:type="dxa"/>
            <w:vAlign w:val="bottom"/>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0"/>
              </w:rPr>
              <w:object w:dxaOrig="260" w:dyaOrig="301">
                <v:shape id="_x0000_i1060" type="#_x0000_t75" style="width:12pt;height:14.25pt" o:ole="">
                  <v:imagedata r:id="rId80" o:title=""/>
                </v:shape>
                <o:OLEObject Type="Embed" ProgID="Equation.AxMath" ShapeID="_x0000_i1060" DrawAspect="Content" ObjectID="_1606634855" r:id="rId81"/>
              </w:object>
            </w:r>
          </w:p>
        </w:tc>
        <w:tc>
          <w:tcPr>
            <w:tcW w:w="816" w:type="dxa"/>
            <w:vAlign w:val="bottom"/>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10"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rPr>
              <w:t>建筑单体</w:t>
            </w:r>
            <w:r>
              <w:rPr>
                <w:rFonts w:asciiTheme="minorEastAsia" w:eastAsiaTheme="minorEastAsia" w:hAnsiTheme="minorEastAsia" w:hint="eastAsia"/>
                <w:color w:val="000000" w:themeColor="text1"/>
              </w:rPr>
              <w:t>楼梯</w:t>
            </w:r>
            <w:r>
              <w:rPr>
                <w:rFonts w:asciiTheme="minorEastAsia" w:eastAsiaTheme="minorEastAsia" w:hAnsiTheme="minorEastAsia"/>
              </w:rPr>
              <w:t>的总数量</w:t>
            </w:r>
            <w:r>
              <w:rPr>
                <w:rFonts w:asciiTheme="minorEastAsia" w:eastAsiaTheme="minorEastAsia" w:hAnsiTheme="minorEastAsia" w:hint="eastAsia"/>
                <w:color w:val="000000" w:themeColor="text1"/>
              </w:rPr>
              <w:t>。</w:t>
            </w:r>
          </w:p>
        </w:tc>
      </w:tr>
    </w:tbl>
    <w:p w:rsidR="00512332" w:rsidRDefault="00E80EF5">
      <w:pPr>
        <w:pStyle w:val="4"/>
        <w:spacing w:before="120"/>
        <w:rPr>
          <w:color w:val="000000"/>
        </w:rPr>
      </w:pPr>
      <w:r>
        <w:rPr>
          <w:rFonts w:hint="eastAsia"/>
          <w:b/>
          <w:kern w:val="2"/>
        </w:rPr>
        <w:lastRenderedPageBreak/>
        <w:t xml:space="preserve">4.1.11  </w:t>
      </w:r>
      <w:r>
        <w:rPr>
          <w:rFonts w:hint="eastAsia"/>
          <w:kern w:val="2"/>
        </w:rPr>
        <w:t>墙体非砌筑</w:t>
      </w:r>
      <w:r>
        <w:rPr>
          <w:rFonts w:hint="eastAsia"/>
        </w:rPr>
        <w:t>的应用比例应根据应用情况，选择下列一种方式进行计算</w:t>
      </w:r>
      <w:r>
        <w:rPr>
          <w:rFonts w:hint="eastAsia"/>
        </w:rPr>
        <w:t>:</w:t>
      </w:r>
    </w:p>
    <w:p w:rsidR="00512332" w:rsidRDefault="00E80EF5">
      <w:pPr>
        <w:rPr>
          <w:rFonts w:eastAsiaTheme="minorEastAsia"/>
          <w:color w:val="000000" w:themeColor="text1"/>
        </w:rPr>
      </w:pPr>
      <w:r>
        <w:rPr>
          <w:rFonts w:eastAsiaTheme="minorEastAsia"/>
          <w:b/>
        </w:rPr>
        <w:t>1</w:t>
      </w:r>
      <w:r>
        <w:rPr>
          <w:rFonts w:eastAsiaTheme="minorEastAsia"/>
        </w:rPr>
        <w:t xml:space="preserve">  </w:t>
      </w:r>
      <w:r>
        <w:rPr>
          <w:rFonts w:eastAsiaTheme="minorEastAsia" w:hAnsiTheme="minorEastAsia"/>
        </w:rPr>
        <w:t>当采用非承重围护墙中非砌筑墙体的应用比例应按下式计算：</w:t>
      </w:r>
    </w:p>
    <w:p w:rsidR="00512332" w:rsidRDefault="00E80EF5">
      <w:pPr>
        <w:spacing w:line="240" w:lineRule="auto"/>
        <w:jc w:val="right"/>
        <w:rPr>
          <w:rFonts w:eastAsiaTheme="minorEastAsia"/>
        </w:rPr>
      </w:pPr>
      <w:r>
        <w:rPr>
          <w:rFonts w:eastAsiaTheme="minorEastAsia"/>
        </w:rPr>
        <w:t xml:space="preserve">   </w:t>
      </w:r>
      <w:r w:rsidR="00512332" w:rsidRPr="00512332">
        <w:rPr>
          <w:rFonts w:eastAsiaTheme="minorEastAsia"/>
          <w:color w:val="000000" w:themeColor="text1"/>
          <w:position w:val="-22"/>
        </w:rPr>
        <w:object w:dxaOrig="1605" w:dyaOrig="554">
          <v:shape id="_x0000_i1061" type="#_x0000_t75" style="width:73.5pt;height:26.25pt" o:ole="">
            <v:imagedata r:id="rId82" o:title=""/>
          </v:shape>
          <o:OLEObject Type="Embed" ProgID="Equation.AxMath" ShapeID="_x0000_i1061" DrawAspect="Content" ObjectID="_1606634856" r:id="rId83"/>
        </w:object>
      </w:r>
      <w:r>
        <w:rPr>
          <w:rFonts w:eastAsiaTheme="minorEastAsia"/>
        </w:rPr>
        <w:t xml:space="preserve">                   </w:t>
      </w:r>
      <w:r>
        <w:rPr>
          <w:rFonts w:eastAsiaTheme="minorEastAsia" w:hAnsiTheme="minorEastAsia"/>
        </w:rPr>
        <w:t>（</w:t>
      </w:r>
      <w:r>
        <w:rPr>
          <w:rFonts w:eastAsiaTheme="minorEastAsia"/>
        </w:rPr>
        <w:t>4.1.11</w:t>
      </w:r>
      <w:r>
        <w:rPr>
          <w:rFonts w:eastAsiaTheme="minorEastAsia" w:hAnsiTheme="minorEastAsia"/>
        </w:rPr>
        <w:t>）</w:t>
      </w:r>
    </w:p>
    <w:tbl>
      <w:tblPr>
        <w:tblW w:w="9459" w:type="dxa"/>
        <w:tblLayout w:type="fixed"/>
        <w:tblLook w:val="04A0"/>
      </w:tblPr>
      <w:tblGrid>
        <w:gridCol w:w="1101"/>
        <w:gridCol w:w="566"/>
        <w:gridCol w:w="816"/>
        <w:gridCol w:w="6976"/>
      </w:tblGrid>
      <w:tr w:rsidR="00512332">
        <w:trPr>
          <w:trHeight w:val="340"/>
        </w:trPr>
        <w:tc>
          <w:tcPr>
            <w:tcW w:w="1101" w:type="dxa"/>
            <w:vAlign w:val="bottom"/>
          </w:tcPr>
          <w:p w:rsidR="00512332" w:rsidRDefault="00E80EF5">
            <w:pPr>
              <w:rPr>
                <w:rFonts w:eastAsiaTheme="minorEastAsia"/>
              </w:rPr>
            </w:pPr>
            <w:r>
              <w:rPr>
                <w:rFonts w:eastAsiaTheme="minorEastAsia" w:hAnsiTheme="minorEastAsia"/>
              </w:rPr>
              <w:t>式中：</w:t>
            </w:r>
          </w:p>
        </w:tc>
        <w:tc>
          <w:tcPr>
            <w:tcW w:w="566" w:type="dxa"/>
            <w:vAlign w:val="bottom"/>
          </w:tcPr>
          <w:p w:rsidR="00512332" w:rsidRDefault="00512332">
            <w:pPr>
              <w:rPr>
                <w:rFonts w:eastAsiaTheme="minorEastAsia"/>
              </w:rPr>
            </w:pPr>
            <w:r w:rsidRPr="00512332">
              <w:rPr>
                <w:rFonts w:eastAsiaTheme="minorEastAsia"/>
                <w:color w:val="000000" w:themeColor="text1"/>
                <w:position w:val="-10"/>
              </w:rPr>
              <w:object w:dxaOrig="272" w:dyaOrig="301">
                <v:shape id="_x0000_i1062" type="#_x0000_t75" style="width:12pt;height:14.25pt" o:ole="">
                  <v:imagedata r:id="rId84" o:title=""/>
                </v:shape>
                <o:OLEObject Type="Embed" ProgID="Equation.AxMath" ShapeID="_x0000_i1062" DrawAspect="Content" ObjectID="_1606634857" r:id="rId85"/>
              </w:object>
            </w:r>
          </w:p>
        </w:tc>
        <w:tc>
          <w:tcPr>
            <w:tcW w:w="816" w:type="dxa"/>
            <w:vAlign w:val="bottom"/>
          </w:tcPr>
          <w:p w:rsidR="00512332" w:rsidRDefault="00E80EF5">
            <w:pPr>
              <w:rPr>
                <w:rFonts w:eastAsiaTheme="minorEastAsia"/>
              </w:rPr>
            </w:pPr>
            <w:r>
              <w:rPr>
                <w:rFonts w:eastAsiaTheme="minorEastAsia"/>
              </w:rPr>
              <w:t>——</w:t>
            </w:r>
          </w:p>
        </w:tc>
        <w:tc>
          <w:tcPr>
            <w:tcW w:w="6976" w:type="dxa"/>
            <w:vAlign w:val="bottom"/>
          </w:tcPr>
          <w:p w:rsidR="00512332" w:rsidRDefault="00E80EF5">
            <w:pPr>
              <w:rPr>
                <w:rFonts w:eastAsiaTheme="minorEastAsia"/>
                <w:color w:val="000000" w:themeColor="text1"/>
              </w:rPr>
            </w:pPr>
            <w:r>
              <w:rPr>
                <w:rFonts w:eastAsiaTheme="minorEastAsia" w:hAnsiTheme="minorEastAsia"/>
              </w:rPr>
              <w:t>非承重围护墙中非砌筑墙体的应用比例；</w:t>
            </w:r>
          </w:p>
        </w:tc>
      </w:tr>
      <w:tr w:rsidR="00512332">
        <w:trPr>
          <w:trHeight w:val="340"/>
        </w:trPr>
        <w:tc>
          <w:tcPr>
            <w:tcW w:w="1101" w:type="dxa"/>
            <w:vAlign w:val="bottom"/>
          </w:tcPr>
          <w:p w:rsidR="00512332" w:rsidRDefault="00512332">
            <w:pPr>
              <w:rPr>
                <w:rFonts w:eastAsiaTheme="minorEastAsia"/>
                <w:color w:val="000000" w:themeColor="text1"/>
              </w:rPr>
            </w:pPr>
          </w:p>
        </w:tc>
        <w:tc>
          <w:tcPr>
            <w:tcW w:w="566" w:type="dxa"/>
          </w:tcPr>
          <w:p w:rsidR="00512332" w:rsidRDefault="00512332">
            <w:pPr>
              <w:rPr>
                <w:rFonts w:eastAsiaTheme="minorEastAsia"/>
              </w:rPr>
            </w:pPr>
            <w:r w:rsidRPr="00512332">
              <w:rPr>
                <w:rFonts w:eastAsiaTheme="minorEastAsia"/>
                <w:position w:val="-10"/>
              </w:rPr>
              <w:object w:dxaOrig="323" w:dyaOrig="301">
                <v:shape id="_x0000_i1063" type="#_x0000_t75" style="width:16.5pt;height:14.25pt" o:ole="">
                  <v:imagedata r:id="rId86" o:title=""/>
                </v:shape>
                <o:OLEObject Type="Embed" ProgID="Equation.AxMath" ShapeID="_x0000_i1063" DrawAspect="Content" ObjectID="_1606634858" r:id="rId87"/>
              </w:object>
            </w:r>
          </w:p>
        </w:tc>
        <w:tc>
          <w:tcPr>
            <w:tcW w:w="816" w:type="dxa"/>
          </w:tcPr>
          <w:p w:rsidR="00512332" w:rsidRDefault="00E80EF5">
            <w:pPr>
              <w:rPr>
                <w:rFonts w:eastAsiaTheme="minorEastAsia"/>
              </w:rPr>
            </w:pPr>
            <w:r>
              <w:rPr>
                <w:rFonts w:eastAsiaTheme="minorEastAsia"/>
              </w:rPr>
              <w:t>——</w:t>
            </w:r>
          </w:p>
        </w:tc>
        <w:tc>
          <w:tcPr>
            <w:tcW w:w="6976" w:type="dxa"/>
            <w:vAlign w:val="bottom"/>
          </w:tcPr>
          <w:p w:rsidR="00512332" w:rsidRDefault="00E80EF5">
            <w:pPr>
              <w:rPr>
                <w:rFonts w:eastAsiaTheme="minorEastAsia"/>
                <w:color w:val="000000" w:themeColor="text1"/>
              </w:rPr>
            </w:pPr>
            <w:r>
              <w:rPr>
                <w:rFonts w:eastAsiaTheme="minorEastAsia" w:hAnsiTheme="minorEastAsia"/>
              </w:rPr>
              <w:t>所有楼层非承重围护墙中非砌筑墙体的外表面积之和，计算时可不扣除门、窗及预留洞口等的面积；</w:t>
            </w:r>
          </w:p>
        </w:tc>
      </w:tr>
      <w:tr w:rsidR="00512332">
        <w:trPr>
          <w:trHeight w:val="340"/>
        </w:trPr>
        <w:tc>
          <w:tcPr>
            <w:tcW w:w="1101" w:type="dxa"/>
            <w:vAlign w:val="bottom"/>
          </w:tcPr>
          <w:p w:rsidR="00512332" w:rsidRDefault="00512332">
            <w:pPr>
              <w:rPr>
                <w:rFonts w:eastAsiaTheme="minorEastAsia"/>
                <w:color w:val="000000" w:themeColor="text1"/>
              </w:rPr>
            </w:pPr>
          </w:p>
        </w:tc>
        <w:tc>
          <w:tcPr>
            <w:tcW w:w="566" w:type="dxa"/>
          </w:tcPr>
          <w:p w:rsidR="00512332" w:rsidRDefault="00512332">
            <w:pPr>
              <w:rPr>
                <w:rFonts w:eastAsiaTheme="minorEastAsia"/>
                <w:color w:val="000000" w:themeColor="text1"/>
              </w:rPr>
            </w:pPr>
            <w:r w:rsidRPr="00512332">
              <w:rPr>
                <w:rFonts w:eastAsiaTheme="minorEastAsia"/>
                <w:color w:val="000000" w:themeColor="text1"/>
                <w:position w:val="-10"/>
              </w:rPr>
              <w:object w:dxaOrig="347" w:dyaOrig="301">
                <v:shape id="_x0000_i1064" type="#_x0000_t75" style="width:18pt;height:14.25pt" o:ole="">
                  <v:imagedata r:id="rId88" o:title=""/>
                </v:shape>
                <o:OLEObject Type="Embed" ProgID="Equation.AxMath" ShapeID="_x0000_i1064" DrawAspect="Content" ObjectID="_1606634859" r:id="rId89"/>
              </w:object>
            </w:r>
          </w:p>
        </w:tc>
        <w:tc>
          <w:tcPr>
            <w:tcW w:w="816" w:type="dxa"/>
          </w:tcPr>
          <w:p w:rsidR="00512332" w:rsidRDefault="00E80EF5">
            <w:pPr>
              <w:rPr>
                <w:rFonts w:eastAsiaTheme="minorEastAsia"/>
              </w:rPr>
            </w:pPr>
            <w:r>
              <w:rPr>
                <w:rFonts w:eastAsiaTheme="minorEastAsia"/>
              </w:rPr>
              <w:t>——</w:t>
            </w:r>
          </w:p>
        </w:tc>
        <w:tc>
          <w:tcPr>
            <w:tcW w:w="6976" w:type="dxa"/>
            <w:vAlign w:val="bottom"/>
          </w:tcPr>
          <w:p w:rsidR="00512332" w:rsidRDefault="00E80EF5">
            <w:pPr>
              <w:rPr>
                <w:rFonts w:eastAsiaTheme="minorEastAsia"/>
                <w:color w:val="000000" w:themeColor="text1"/>
              </w:rPr>
            </w:pPr>
            <w:r>
              <w:rPr>
                <w:rFonts w:eastAsiaTheme="minorEastAsia" w:hAnsiTheme="minorEastAsia"/>
              </w:rPr>
              <w:t>所有楼层非承重围护墙外表面总面积，计算时可不扣除门、窗及预留洞口等的面积。</w:t>
            </w:r>
          </w:p>
        </w:tc>
      </w:tr>
    </w:tbl>
    <w:p w:rsidR="00512332" w:rsidRDefault="00E80EF5">
      <w:pPr>
        <w:rPr>
          <w:rFonts w:eastAsiaTheme="minorEastAsia"/>
          <w:b/>
          <w:bCs/>
        </w:rPr>
      </w:pPr>
      <w:r>
        <w:rPr>
          <w:rFonts w:eastAsiaTheme="minorEastAsia"/>
          <w:b/>
          <w:bCs/>
        </w:rPr>
        <w:t xml:space="preserve">2  </w:t>
      </w:r>
      <w:r>
        <w:rPr>
          <w:rFonts w:eastAsiaTheme="minorEastAsia" w:hAnsiTheme="minorEastAsia"/>
        </w:rPr>
        <w:t>当采用预制外墙外表面积的应用比例应按第</w:t>
      </w:r>
      <w:r>
        <w:rPr>
          <w:rFonts w:eastAsiaTheme="minorEastAsia"/>
        </w:rPr>
        <w:t>5</w:t>
      </w:r>
      <w:r>
        <w:rPr>
          <w:rFonts w:eastAsiaTheme="minorEastAsia" w:hAnsiTheme="minorEastAsia"/>
        </w:rPr>
        <w:t>章计算。</w:t>
      </w:r>
    </w:p>
    <w:p w:rsidR="00512332" w:rsidRDefault="00E80EF5">
      <w:pPr>
        <w:pStyle w:val="4"/>
        <w:spacing w:before="120"/>
      </w:pPr>
      <w:r>
        <w:rPr>
          <w:rFonts w:hint="eastAsia"/>
          <w:b/>
          <w:kern w:val="2"/>
        </w:rPr>
        <w:t xml:space="preserve">4.1.12 </w:t>
      </w:r>
      <w:r>
        <w:rPr>
          <w:kern w:val="2"/>
        </w:rPr>
        <w:t xml:space="preserve"> </w:t>
      </w:r>
      <w:r>
        <w:t>围护墙采用墙体、保温、隔热、装饰一体化的应用比例应根据应用情况，选择下列一种方式进行计算</w:t>
      </w:r>
      <w:r>
        <w:rPr>
          <w:rFonts w:hint="eastAsia"/>
        </w:rPr>
        <w:t>:</w:t>
      </w:r>
    </w:p>
    <w:p w:rsidR="00512332" w:rsidRDefault="00E80EF5">
      <w:pPr>
        <w:ind w:firstLineChars="188" w:firstLine="566"/>
        <w:rPr>
          <w:rFonts w:eastAsiaTheme="minorEastAsia"/>
        </w:rPr>
      </w:pPr>
      <w:r>
        <w:rPr>
          <w:rFonts w:eastAsiaTheme="minorEastAsia"/>
          <w:b/>
        </w:rPr>
        <w:t>1</w:t>
      </w:r>
      <w:r>
        <w:rPr>
          <w:rFonts w:eastAsiaTheme="minorEastAsia"/>
        </w:rPr>
        <w:t xml:space="preserve">  </w:t>
      </w:r>
      <w:r>
        <w:rPr>
          <w:rFonts w:eastAsiaTheme="minorEastAsia" w:hAnsiTheme="minorEastAsia"/>
        </w:rPr>
        <w:t>当围护墙采用墙体、保温、隔热、装饰一体化时，相应应用比例可按下式计算：</w:t>
      </w:r>
    </w:p>
    <w:p w:rsidR="00512332" w:rsidRDefault="00512332">
      <w:pPr>
        <w:spacing w:line="240" w:lineRule="auto"/>
        <w:jc w:val="right"/>
        <w:rPr>
          <w:rFonts w:eastAsiaTheme="minorEastAsia"/>
        </w:rPr>
      </w:pPr>
      <w:r w:rsidRPr="00512332">
        <w:rPr>
          <w:rFonts w:eastAsiaTheme="minorEastAsia"/>
          <w:color w:val="000000" w:themeColor="text1"/>
          <w:position w:val="-22"/>
        </w:rPr>
        <w:object w:dxaOrig="1708" w:dyaOrig="554">
          <v:shape id="_x0000_i1065" type="#_x0000_t75" style="width:82.5pt;height:26.25pt" o:ole="">
            <v:imagedata r:id="rId90" o:title=""/>
          </v:shape>
          <o:OLEObject Type="Embed" ProgID="Equation.AxMath" ShapeID="_x0000_i1065" DrawAspect="Content" ObjectID="_1606634860" r:id="rId91"/>
        </w:object>
      </w:r>
      <w:r w:rsidR="00E80EF5">
        <w:rPr>
          <w:rFonts w:eastAsiaTheme="minorEastAsia"/>
        </w:rPr>
        <w:t xml:space="preserve">                 </w:t>
      </w:r>
      <w:r w:rsidR="00E80EF5">
        <w:rPr>
          <w:rFonts w:eastAsiaTheme="minorEastAsia" w:hAnsiTheme="minorEastAsia"/>
        </w:rPr>
        <w:t>（</w:t>
      </w:r>
      <w:r w:rsidR="00E80EF5">
        <w:rPr>
          <w:rFonts w:eastAsiaTheme="minorEastAsia"/>
        </w:rPr>
        <w:t>4.1.12-1</w:t>
      </w:r>
      <w:r w:rsidR="00E80EF5">
        <w:rPr>
          <w:rFonts w:eastAsiaTheme="minorEastAsia" w:hAnsiTheme="minorEastAsia"/>
        </w:rPr>
        <w:t>）</w:t>
      </w:r>
    </w:p>
    <w:tbl>
      <w:tblPr>
        <w:tblW w:w="9459" w:type="dxa"/>
        <w:tblLayout w:type="fixed"/>
        <w:tblLook w:val="04A0"/>
      </w:tblPr>
      <w:tblGrid>
        <w:gridCol w:w="1101"/>
        <w:gridCol w:w="609"/>
        <w:gridCol w:w="816"/>
        <w:gridCol w:w="6933"/>
      </w:tblGrid>
      <w:tr w:rsidR="00512332">
        <w:trPr>
          <w:trHeight w:val="340"/>
        </w:trPr>
        <w:tc>
          <w:tcPr>
            <w:tcW w:w="1101" w:type="dxa"/>
            <w:vAlign w:val="center"/>
          </w:tcPr>
          <w:p w:rsidR="00512332" w:rsidRDefault="00E80EF5">
            <w:pPr>
              <w:rPr>
                <w:rFonts w:eastAsiaTheme="minorEastAsia"/>
              </w:rPr>
            </w:pPr>
            <w:r>
              <w:rPr>
                <w:rFonts w:eastAsiaTheme="minorEastAsia" w:hAnsiTheme="minorEastAsia"/>
              </w:rPr>
              <w:t>式中：</w:t>
            </w:r>
          </w:p>
        </w:tc>
        <w:tc>
          <w:tcPr>
            <w:tcW w:w="609" w:type="dxa"/>
          </w:tcPr>
          <w:p w:rsidR="00512332" w:rsidRDefault="00512332">
            <w:pPr>
              <w:rPr>
                <w:rFonts w:eastAsiaTheme="minorEastAsia"/>
              </w:rPr>
            </w:pPr>
            <w:r w:rsidRPr="00512332">
              <w:rPr>
                <w:rFonts w:eastAsiaTheme="minorEastAsia"/>
                <w:color w:val="000000" w:themeColor="text1"/>
                <w:position w:val="-10"/>
              </w:rPr>
              <w:object w:dxaOrig="335" w:dyaOrig="301">
                <v:shape id="_x0000_i1066" type="#_x0000_t75" style="width:16.5pt;height:14.25pt" o:ole="">
                  <v:imagedata r:id="rId92" o:title=""/>
                </v:shape>
                <o:OLEObject Type="Embed" ProgID="Equation.AxMath" ShapeID="_x0000_i1066" DrawAspect="Content" ObjectID="_1606634861" r:id="rId93"/>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围护墙采用墙体、保温、隔热、装饰一体化的应用比例；</w:t>
            </w:r>
          </w:p>
        </w:tc>
      </w:tr>
      <w:tr w:rsidR="00512332">
        <w:trPr>
          <w:trHeight w:val="340"/>
        </w:trPr>
        <w:tc>
          <w:tcPr>
            <w:tcW w:w="1101" w:type="dxa"/>
            <w:vAlign w:val="center"/>
          </w:tcPr>
          <w:p w:rsidR="00512332" w:rsidRDefault="00512332">
            <w:pPr>
              <w:rPr>
                <w:rFonts w:eastAsiaTheme="minorEastAsia"/>
                <w:color w:val="000000" w:themeColor="text1"/>
              </w:rPr>
            </w:pPr>
          </w:p>
        </w:tc>
        <w:tc>
          <w:tcPr>
            <w:tcW w:w="609" w:type="dxa"/>
          </w:tcPr>
          <w:p w:rsidR="00512332" w:rsidRDefault="00512332">
            <w:pPr>
              <w:rPr>
                <w:rFonts w:eastAsiaTheme="minorEastAsia"/>
              </w:rPr>
            </w:pPr>
            <w:r w:rsidRPr="00512332">
              <w:rPr>
                <w:rFonts w:eastAsiaTheme="minorEastAsia"/>
                <w:color w:val="000000" w:themeColor="text1"/>
                <w:position w:val="-10"/>
              </w:rPr>
              <w:object w:dxaOrig="386" w:dyaOrig="302">
                <v:shape id="_x0000_i1067" type="#_x0000_t75" style="width:19.5pt;height:14.25pt" o:ole="">
                  <v:imagedata r:id="rId94" o:title=""/>
                </v:shape>
                <o:OLEObject Type="Embed" ProgID="Equation.AxMath" ShapeID="_x0000_i1067" DrawAspect="Content" ObjectID="_1606634862" r:id="rId95"/>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所有楼层围护墙采用墙体、保温、隔热、装饰一体化的墙面外表面积之和，计算时可不扣除门、窗及预留洞口等的面积；</w:t>
            </w:r>
            <w:r>
              <w:rPr>
                <w:rFonts w:eastAsiaTheme="minorEastAsia"/>
              </w:rPr>
              <w:t>         </w:t>
            </w:r>
          </w:p>
        </w:tc>
      </w:tr>
      <w:tr w:rsidR="00512332">
        <w:trPr>
          <w:trHeight w:val="340"/>
        </w:trPr>
        <w:tc>
          <w:tcPr>
            <w:tcW w:w="1101" w:type="dxa"/>
            <w:vAlign w:val="center"/>
          </w:tcPr>
          <w:p w:rsidR="00512332" w:rsidRDefault="00512332">
            <w:pPr>
              <w:rPr>
                <w:rFonts w:eastAsiaTheme="minorEastAsia"/>
                <w:color w:val="000000" w:themeColor="text1"/>
              </w:rPr>
            </w:pPr>
          </w:p>
        </w:tc>
        <w:tc>
          <w:tcPr>
            <w:tcW w:w="609" w:type="dxa"/>
          </w:tcPr>
          <w:p w:rsidR="00512332" w:rsidRDefault="00512332">
            <w:pPr>
              <w:rPr>
                <w:rFonts w:eastAsiaTheme="minorEastAsia"/>
                <w:color w:val="000000" w:themeColor="text1"/>
              </w:rPr>
            </w:pPr>
            <w:r w:rsidRPr="00512332">
              <w:rPr>
                <w:rFonts w:eastAsiaTheme="minorEastAsia"/>
                <w:color w:val="000000" w:themeColor="text1"/>
                <w:position w:val="-10"/>
              </w:rPr>
              <w:object w:dxaOrig="347" w:dyaOrig="301">
                <v:shape id="_x0000_i1068" type="#_x0000_t75" style="width:18pt;height:14.25pt" o:ole="">
                  <v:imagedata r:id="rId96" o:title=""/>
                </v:shape>
                <o:OLEObject Type="Embed" ProgID="Equation.AxMath" ShapeID="_x0000_i1068" DrawAspect="Content" ObjectID="_1606634863" r:id="rId97"/>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所有楼层围护墙外表面总面积，计算时可不扣除门、窗及预留洞口等的面积，计算方法详见第</w:t>
            </w:r>
            <w:r>
              <w:rPr>
                <w:rFonts w:eastAsiaTheme="minorEastAsia"/>
              </w:rPr>
              <w:t>5</w:t>
            </w:r>
            <w:r>
              <w:rPr>
                <w:rFonts w:eastAsiaTheme="minorEastAsia" w:hAnsiTheme="minorEastAsia"/>
              </w:rPr>
              <w:t>章。</w:t>
            </w:r>
          </w:p>
        </w:tc>
      </w:tr>
    </w:tbl>
    <w:p w:rsidR="00512332" w:rsidRDefault="00E80EF5">
      <w:pPr>
        <w:ind w:firstLineChars="188" w:firstLine="566"/>
        <w:rPr>
          <w:rFonts w:eastAsiaTheme="minorEastAsia"/>
        </w:rPr>
      </w:pPr>
      <w:r>
        <w:rPr>
          <w:rFonts w:eastAsiaTheme="minorEastAsia"/>
          <w:b/>
        </w:rPr>
        <w:t>2</w:t>
      </w:r>
      <w:r>
        <w:rPr>
          <w:rFonts w:eastAsiaTheme="minorEastAsia"/>
        </w:rPr>
        <w:t xml:space="preserve">  </w:t>
      </w:r>
      <w:r>
        <w:rPr>
          <w:rFonts w:eastAsiaTheme="minorEastAsia" w:hAnsiTheme="minorEastAsia"/>
        </w:rPr>
        <w:t>当围护墙采用保温、隔热、装饰一体化板时，相应应用比例可按下式计算：</w:t>
      </w:r>
    </w:p>
    <w:p w:rsidR="00512332" w:rsidRDefault="00512332">
      <w:pPr>
        <w:spacing w:line="240" w:lineRule="auto"/>
        <w:jc w:val="right"/>
        <w:rPr>
          <w:rFonts w:eastAsiaTheme="minorEastAsia"/>
        </w:rPr>
      </w:pPr>
      <w:r w:rsidRPr="00512332">
        <w:rPr>
          <w:rFonts w:eastAsiaTheme="minorEastAsia"/>
          <w:color w:val="000000" w:themeColor="text1"/>
          <w:position w:val="-22"/>
        </w:rPr>
        <w:object w:dxaOrig="1708" w:dyaOrig="554">
          <v:shape id="_x0000_i1069" type="#_x0000_t75" style="width:82.5pt;height:26.25pt" o:ole="">
            <v:imagedata r:id="rId98" o:title=""/>
          </v:shape>
          <o:OLEObject Type="Embed" ProgID="Equation.AxMath" ShapeID="_x0000_i1069" DrawAspect="Content" ObjectID="_1606634864" r:id="rId99"/>
        </w:object>
      </w:r>
      <w:r w:rsidR="00E80EF5">
        <w:rPr>
          <w:rFonts w:eastAsiaTheme="minorEastAsia"/>
          <w:color w:val="000000" w:themeColor="text1"/>
        </w:rPr>
        <w:t xml:space="preserve">                </w:t>
      </w:r>
      <w:r w:rsidR="00E80EF5">
        <w:rPr>
          <w:rFonts w:eastAsiaTheme="minorEastAsia" w:hAnsiTheme="minorEastAsia"/>
        </w:rPr>
        <w:t>（</w:t>
      </w:r>
      <w:r w:rsidR="00E80EF5">
        <w:rPr>
          <w:rFonts w:eastAsiaTheme="minorEastAsia"/>
        </w:rPr>
        <w:t>4.1.12-2</w:t>
      </w:r>
      <w:r w:rsidR="00E80EF5">
        <w:rPr>
          <w:rFonts w:eastAsiaTheme="minorEastAsia" w:hAnsiTheme="minorEastAsia"/>
        </w:rPr>
        <w:t>）</w:t>
      </w:r>
    </w:p>
    <w:tbl>
      <w:tblPr>
        <w:tblW w:w="9459" w:type="dxa"/>
        <w:tblLayout w:type="fixed"/>
        <w:tblLook w:val="04A0"/>
      </w:tblPr>
      <w:tblGrid>
        <w:gridCol w:w="1101"/>
        <w:gridCol w:w="609"/>
        <w:gridCol w:w="816"/>
        <w:gridCol w:w="6933"/>
      </w:tblGrid>
      <w:tr w:rsidR="00512332">
        <w:trPr>
          <w:trHeight w:val="340"/>
        </w:trPr>
        <w:tc>
          <w:tcPr>
            <w:tcW w:w="1101" w:type="dxa"/>
            <w:vAlign w:val="center"/>
          </w:tcPr>
          <w:p w:rsidR="00512332" w:rsidRDefault="00E80EF5">
            <w:pPr>
              <w:rPr>
                <w:rFonts w:eastAsiaTheme="minorEastAsia"/>
              </w:rPr>
            </w:pPr>
            <w:r>
              <w:rPr>
                <w:rFonts w:eastAsiaTheme="minorEastAsia" w:hAnsiTheme="minorEastAsia"/>
              </w:rPr>
              <w:t>式中：</w:t>
            </w:r>
          </w:p>
        </w:tc>
        <w:tc>
          <w:tcPr>
            <w:tcW w:w="609" w:type="dxa"/>
          </w:tcPr>
          <w:p w:rsidR="00512332" w:rsidRDefault="00512332">
            <w:pPr>
              <w:rPr>
                <w:rFonts w:eastAsiaTheme="minorEastAsia"/>
              </w:rPr>
            </w:pPr>
            <w:r w:rsidRPr="00512332">
              <w:rPr>
                <w:rFonts w:eastAsiaTheme="minorEastAsia"/>
                <w:color w:val="000000" w:themeColor="text1"/>
                <w:position w:val="-10"/>
              </w:rPr>
              <w:object w:dxaOrig="335" w:dyaOrig="301">
                <v:shape id="_x0000_i1070" type="#_x0000_t75" style="width:16.5pt;height:14.25pt" o:ole="">
                  <v:imagedata r:id="rId100" o:title=""/>
                </v:shape>
                <o:OLEObject Type="Embed" ProgID="Equation.AxMath" ShapeID="_x0000_i1070" DrawAspect="Content" ObjectID="_1606634865" r:id="rId101"/>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围护墙采用保温、隔热、装饰一体化板的应用比例；</w:t>
            </w:r>
          </w:p>
        </w:tc>
      </w:tr>
      <w:tr w:rsidR="00512332">
        <w:trPr>
          <w:trHeight w:val="340"/>
        </w:trPr>
        <w:tc>
          <w:tcPr>
            <w:tcW w:w="1101" w:type="dxa"/>
            <w:vAlign w:val="center"/>
          </w:tcPr>
          <w:p w:rsidR="00512332" w:rsidRDefault="00512332">
            <w:pPr>
              <w:rPr>
                <w:rFonts w:eastAsiaTheme="minorEastAsia"/>
                <w:color w:val="000000" w:themeColor="text1"/>
              </w:rPr>
            </w:pPr>
          </w:p>
        </w:tc>
        <w:tc>
          <w:tcPr>
            <w:tcW w:w="609" w:type="dxa"/>
          </w:tcPr>
          <w:p w:rsidR="00512332" w:rsidRDefault="00512332">
            <w:pPr>
              <w:rPr>
                <w:rFonts w:eastAsiaTheme="minorEastAsia"/>
              </w:rPr>
            </w:pPr>
            <w:r w:rsidRPr="00512332">
              <w:rPr>
                <w:rFonts w:eastAsiaTheme="minorEastAsia"/>
                <w:color w:val="000000" w:themeColor="text1"/>
                <w:position w:val="-10"/>
              </w:rPr>
              <w:object w:dxaOrig="386" w:dyaOrig="302">
                <v:shape id="_x0000_i1071" type="#_x0000_t75" style="width:19.5pt;height:14.25pt" o:ole="">
                  <v:imagedata r:id="rId102" o:title=""/>
                </v:shape>
                <o:OLEObject Type="Embed" ProgID="Equation.AxMath" ShapeID="_x0000_i1071" DrawAspect="Content" ObjectID="_1606634866" r:id="rId103"/>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所有楼层围护墙采用保温、隔热、装饰一体化板的墙面外表面积之和，计算时可不扣除门、窗及预留洞口等的面积；</w:t>
            </w:r>
          </w:p>
        </w:tc>
      </w:tr>
    </w:tbl>
    <w:p w:rsidR="00512332" w:rsidRDefault="00E80EF5">
      <w:pPr>
        <w:ind w:firstLineChars="188" w:firstLine="566"/>
        <w:rPr>
          <w:rFonts w:eastAsiaTheme="minorEastAsia"/>
        </w:rPr>
      </w:pPr>
      <w:r>
        <w:rPr>
          <w:rFonts w:eastAsiaTheme="minorEastAsia"/>
          <w:b/>
        </w:rPr>
        <w:t>3</w:t>
      </w:r>
      <w:r>
        <w:rPr>
          <w:rFonts w:eastAsiaTheme="minorEastAsia"/>
        </w:rPr>
        <w:t xml:space="preserve">  </w:t>
      </w:r>
      <w:r>
        <w:rPr>
          <w:rFonts w:eastAsiaTheme="minorEastAsia" w:hAnsiTheme="minorEastAsia"/>
        </w:rPr>
        <w:t>当围护墙与保温、隔热一体化时，相应应用比例可按下式计算：</w:t>
      </w:r>
    </w:p>
    <w:p w:rsidR="00512332" w:rsidRDefault="00512332">
      <w:pPr>
        <w:spacing w:line="240" w:lineRule="auto"/>
        <w:jc w:val="right"/>
        <w:rPr>
          <w:rFonts w:eastAsiaTheme="minorEastAsia"/>
        </w:rPr>
      </w:pPr>
      <w:r w:rsidRPr="00512332">
        <w:rPr>
          <w:rFonts w:eastAsiaTheme="minorEastAsia"/>
          <w:color w:val="000000" w:themeColor="text1"/>
          <w:position w:val="-22"/>
        </w:rPr>
        <w:object w:dxaOrig="1708" w:dyaOrig="554">
          <v:shape id="_x0000_i1072" type="#_x0000_t75" style="width:82.5pt;height:26.25pt" o:ole="">
            <v:imagedata r:id="rId104" o:title=""/>
          </v:shape>
          <o:OLEObject Type="Embed" ProgID="Equation.AxMath" ShapeID="_x0000_i1072" DrawAspect="Content" ObjectID="_1606634867" r:id="rId105"/>
        </w:object>
      </w:r>
      <w:r w:rsidR="00E80EF5">
        <w:rPr>
          <w:rFonts w:eastAsiaTheme="minorEastAsia"/>
          <w:color w:val="000000" w:themeColor="text1"/>
        </w:rPr>
        <w:t xml:space="preserve">                </w:t>
      </w:r>
      <w:r w:rsidR="00E80EF5">
        <w:rPr>
          <w:rFonts w:eastAsiaTheme="minorEastAsia" w:hAnsiTheme="minorEastAsia"/>
        </w:rPr>
        <w:t>（</w:t>
      </w:r>
      <w:r w:rsidR="00E80EF5">
        <w:rPr>
          <w:rFonts w:eastAsiaTheme="minorEastAsia"/>
        </w:rPr>
        <w:t>4.1.12-3</w:t>
      </w:r>
      <w:r w:rsidR="00E80EF5">
        <w:rPr>
          <w:rFonts w:eastAsiaTheme="minorEastAsia" w:hAnsiTheme="minorEastAsia"/>
        </w:rPr>
        <w:t>）</w:t>
      </w:r>
    </w:p>
    <w:tbl>
      <w:tblPr>
        <w:tblW w:w="9459" w:type="dxa"/>
        <w:tblLayout w:type="fixed"/>
        <w:tblLook w:val="04A0"/>
      </w:tblPr>
      <w:tblGrid>
        <w:gridCol w:w="1101"/>
        <w:gridCol w:w="609"/>
        <w:gridCol w:w="816"/>
        <w:gridCol w:w="6933"/>
      </w:tblGrid>
      <w:tr w:rsidR="00512332">
        <w:trPr>
          <w:trHeight w:val="340"/>
        </w:trPr>
        <w:tc>
          <w:tcPr>
            <w:tcW w:w="1101" w:type="dxa"/>
            <w:vAlign w:val="center"/>
          </w:tcPr>
          <w:p w:rsidR="00512332" w:rsidRDefault="00E80EF5">
            <w:pPr>
              <w:rPr>
                <w:rFonts w:eastAsiaTheme="minorEastAsia"/>
              </w:rPr>
            </w:pPr>
            <w:r>
              <w:rPr>
                <w:rFonts w:eastAsiaTheme="minorEastAsia" w:hAnsiTheme="minorEastAsia"/>
              </w:rPr>
              <w:t>式中：</w:t>
            </w:r>
          </w:p>
        </w:tc>
        <w:tc>
          <w:tcPr>
            <w:tcW w:w="609" w:type="dxa"/>
          </w:tcPr>
          <w:p w:rsidR="00512332" w:rsidRDefault="00512332">
            <w:pPr>
              <w:rPr>
                <w:rFonts w:eastAsiaTheme="minorEastAsia"/>
              </w:rPr>
            </w:pPr>
            <w:r w:rsidRPr="00512332">
              <w:rPr>
                <w:rFonts w:eastAsiaTheme="minorEastAsia"/>
                <w:color w:val="000000" w:themeColor="text1"/>
                <w:position w:val="-10"/>
              </w:rPr>
              <w:object w:dxaOrig="335" w:dyaOrig="301">
                <v:shape id="_x0000_i1073" type="#_x0000_t75" style="width:16.5pt;height:14.25pt" o:ole="">
                  <v:imagedata r:id="rId106" o:title=""/>
                </v:shape>
                <o:OLEObject Type="Embed" ProgID="Equation.AxMath" ShapeID="_x0000_i1073" DrawAspect="Content" ObjectID="_1606634868" r:id="rId107"/>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围护墙与保温、隔热一体化的应用比例；</w:t>
            </w:r>
          </w:p>
        </w:tc>
      </w:tr>
      <w:tr w:rsidR="00512332">
        <w:trPr>
          <w:trHeight w:val="340"/>
        </w:trPr>
        <w:tc>
          <w:tcPr>
            <w:tcW w:w="1101" w:type="dxa"/>
            <w:vAlign w:val="center"/>
          </w:tcPr>
          <w:p w:rsidR="00512332" w:rsidRDefault="00512332">
            <w:pPr>
              <w:rPr>
                <w:rFonts w:eastAsiaTheme="minorEastAsia"/>
                <w:color w:val="000000" w:themeColor="text1"/>
              </w:rPr>
            </w:pPr>
          </w:p>
        </w:tc>
        <w:tc>
          <w:tcPr>
            <w:tcW w:w="609" w:type="dxa"/>
          </w:tcPr>
          <w:p w:rsidR="00512332" w:rsidRDefault="00512332">
            <w:pPr>
              <w:rPr>
                <w:rFonts w:eastAsiaTheme="minorEastAsia"/>
              </w:rPr>
            </w:pPr>
            <w:r w:rsidRPr="00512332">
              <w:rPr>
                <w:rFonts w:eastAsiaTheme="minorEastAsia"/>
                <w:color w:val="000000" w:themeColor="text1"/>
                <w:position w:val="-10"/>
              </w:rPr>
              <w:object w:dxaOrig="386" w:dyaOrig="302">
                <v:shape id="_x0000_i1074" type="#_x0000_t75" style="width:19.5pt;height:14.25pt" o:ole="">
                  <v:imagedata r:id="rId108" o:title=""/>
                </v:shape>
                <o:OLEObject Type="Embed" ProgID="Equation.AxMath" ShapeID="_x0000_i1074" DrawAspect="Content" ObjectID="_1606634869" r:id="rId109"/>
              </w:object>
            </w:r>
          </w:p>
        </w:tc>
        <w:tc>
          <w:tcPr>
            <w:tcW w:w="816" w:type="dxa"/>
          </w:tcPr>
          <w:p w:rsidR="00512332" w:rsidRDefault="00E80EF5">
            <w:pPr>
              <w:rPr>
                <w:rFonts w:eastAsiaTheme="minorEastAsia"/>
              </w:rPr>
            </w:pPr>
            <w:r>
              <w:rPr>
                <w:rFonts w:eastAsiaTheme="minorEastAsia"/>
              </w:rPr>
              <w:t>——</w:t>
            </w:r>
          </w:p>
        </w:tc>
        <w:tc>
          <w:tcPr>
            <w:tcW w:w="6933" w:type="dxa"/>
          </w:tcPr>
          <w:p w:rsidR="00512332" w:rsidRDefault="00E80EF5">
            <w:pPr>
              <w:rPr>
                <w:rFonts w:eastAsiaTheme="minorEastAsia"/>
              </w:rPr>
            </w:pPr>
            <w:r>
              <w:rPr>
                <w:rFonts w:eastAsiaTheme="minorEastAsia" w:hAnsiTheme="minorEastAsia"/>
              </w:rPr>
              <w:t>所有楼层围护墙采用墙体、保温、隔热一体化的墙面外表面积之和，计算时可不扣除门、窗及预留洞口等的面积；</w:t>
            </w:r>
          </w:p>
        </w:tc>
      </w:tr>
    </w:tbl>
    <w:p w:rsidR="00512332" w:rsidRDefault="00E80EF5">
      <w:pPr>
        <w:pStyle w:val="4"/>
        <w:spacing w:before="120"/>
      </w:pPr>
      <w:r>
        <w:rPr>
          <w:rFonts w:hint="eastAsia"/>
          <w:b/>
          <w:kern w:val="2"/>
        </w:rPr>
        <w:t>4.1.13</w:t>
      </w:r>
      <w:r>
        <w:rPr>
          <w:kern w:val="2"/>
        </w:rPr>
        <w:t xml:space="preserve"> </w:t>
      </w:r>
      <w:r>
        <w:rPr>
          <w:rFonts w:hint="eastAsia"/>
          <w:kern w:val="2"/>
        </w:rPr>
        <w:t xml:space="preserve"> </w:t>
      </w:r>
      <w:r>
        <w:t>内隔墙中非砌筑墙体的应用比例应按下式计算：</w:t>
      </w:r>
    </w:p>
    <w:p w:rsidR="00512332" w:rsidRDefault="00512332">
      <w:pPr>
        <w:pStyle w:val="af2"/>
        <w:shd w:val="clear" w:color="auto" w:fill="FFFFFF"/>
        <w:adjustRightInd w:val="0"/>
        <w:snapToGrid w:val="0"/>
        <w:spacing w:before="0" w:beforeAutospacing="0" w:after="0" w:afterAutospacing="0" w:line="240" w:lineRule="auto"/>
        <w:jc w:val="right"/>
        <w:rPr>
          <w:rFonts w:ascii="Times New Roman" w:eastAsiaTheme="minorEastAsia" w:hAnsi="Times New Roman" w:cs="Times New Roman"/>
          <w:color w:val="000000"/>
          <w:szCs w:val="30"/>
        </w:rPr>
      </w:pPr>
      <w:r w:rsidRPr="00512332">
        <w:rPr>
          <w:rFonts w:asciiTheme="minorEastAsia" w:eastAsiaTheme="minorEastAsia" w:hAnsiTheme="minorEastAsia"/>
          <w:color w:val="000000" w:themeColor="text1"/>
          <w:position w:val="-22"/>
        </w:rPr>
        <w:object w:dxaOrig="1599" w:dyaOrig="554">
          <v:shape id="_x0000_i1075" type="#_x0000_t75" style="width:77.25pt;height:26.25pt" o:ole="">
            <v:imagedata r:id="rId110" o:title=""/>
          </v:shape>
          <o:OLEObject Type="Embed" ProgID="Equation.AxMath" ShapeID="_x0000_i1075" DrawAspect="Content" ObjectID="_1606634870" r:id="rId111"/>
        </w:object>
      </w:r>
      <w:r w:rsidR="00E80EF5">
        <w:rPr>
          <w:rFonts w:asciiTheme="minorEastAsia" w:eastAsiaTheme="minorEastAsia" w:hAnsiTheme="minorEastAsia" w:hint="eastAsia"/>
          <w:color w:val="000000" w:themeColor="text1"/>
        </w:rPr>
        <w:t xml:space="preserve">                     </w:t>
      </w:r>
      <w:r w:rsidR="00E80EF5">
        <w:rPr>
          <w:rFonts w:ascii="Times New Roman" w:eastAsiaTheme="minorEastAsia" w:hAnsiTheme="minorEastAsia" w:cs="Times New Roman"/>
          <w:color w:val="000000"/>
          <w:szCs w:val="30"/>
        </w:rPr>
        <w:t>（</w:t>
      </w:r>
      <w:r w:rsidR="00E80EF5">
        <w:rPr>
          <w:rFonts w:ascii="Times New Roman" w:eastAsiaTheme="minorEastAsia" w:hAnsi="Times New Roman" w:cs="Times New Roman"/>
          <w:color w:val="000000"/>
          <w:szCs w:val="30"/>
        </w:rPr>
        <w:t>4.</w:t>
      </w:r>
      <w:r w:rsidR="00E80EF5">
        <w:rPr>
          <w:rFonts w:ascii="Times New Roman" w:eastAsiaTheme="minorEastAsia" w:hAnsi="Times New Roman" w:cs="Times New Roman" w:hint="eastAsia"/>
          <w:color w:val="000000"/>
          <w:szCs w:val="30"/>
        </w:rPr>
        <w:t>1</w:t>
      </w:r>
      <w:r w:rsidR="00E80EF5">
        <w:rPr>
          <w:rFonts w:ascii="Times New Roman" w:eastAsiaTheme="minorEastAsia" w:hAnsi="Times New Roman" w:cs="Times New Roman"/>
          <w:color w:val="000000"/>
          <w:szCs w:val="30"/>
        </w:rPr>
        <w:t>.1</w:t>
      </w:r>
      <w:r w:rsidR="00E80EF5">
        <w:rPr>
          <w:rFonts w:ascii="Times New Roman" w:eastAsiaTheme="minorEastAsia" w:hAnsi="Times New Roman" w:cs="Times New Roman" w:hint="eastAsia"/>
          <w:color w:val="000000"/>
          <w:szCs w:val="30"/>
        </w:rPr>
        <w:t>3</w:t>
      </w:r>
      <w:r w:rsidR="00E80EF5">
        <w:rPr>
          <w:rFonts w:ascii="Times New Roman" w:eastAsiaTheme="minorEastAsia" w:hAnsiTheme="minorEastAsia" w:cs="Times New Roman"/>
          <w:color w:val="000000"/>
          <w:szCs w:val="30"/>
        </w:rPr>
        <w:t>）</w:t>
      </w:r>
    </w:p>
    <w:tbl>
      <w:tblPr>
        <w:tblW w:w="9459" w:type="dxa"/>
        <w:tblLayout w:type="fixed"/>
        <w:tblLook w:val="04A0"/>
      </w:tblPr>
      <w:tblGrid>
        <w:gridCol w:w="1082"/>
        <w:gridCol w:w="576"/>
        <w:gridCol w:w="816"/>
        <w:gridCol w:w="6985"/>
      </w:tblGrid>
      <w:tr w:rsidR="00512332">
        <w:trPr>
          <w:trHeight w:val="340"/>
        </w:trPr>
        <w:tc>
          <w:tcPr>
            <w:tcW w:w="1082" w:type="dxa"/>
            <w:vAlign w:val="center"/>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6"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65" w:dyaOrig="302">
                <v:shape id="_x0000_i1076" type="#_x0000_t75" style="width:12pt;height:14.25pt" o:ole="">
                  <v:imagedata r:id="rId112" o:title=""/>
                </v:shape>
                <o:OLEObject Type="Embed" ProgID="Equation.AxMath" ShapeID="_x0000_i1076" DrawAspect="Content" ObjectID="_1606634871" r:id="rId11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85" w:type="dxa"/>
          </w:tcPr>
          <w:p w:rsidR="00512332" w:rsidRDefault="00E80EF5">
            <w:pPr>
              <w:rPr>
                <w:rFonts w:asciiTheme="minorEastAsia" w:eastAsiaTheme="minorEastAsia" w:hAnsiTheme="minorEastAsia"/>
              </w:rPr>
            </w:pPr>
            <w:r>
              <w:rPr>
                <w:rFonts w:asciiTheme="minorEastAsia" w:eastAsiaTheme="minorEastAsia" w:hAnsiTheme="minorEastAsia"/>
              </w:rPr>
              <w:t>内隔墙中非砌筑墙体的应用比例；</w:t>
            </w:r>
          </w:p>
        </w:tc>
      </w:tr>
      <w:tr w:rsidR="00512332">
        <w:trPr>
          <w:trHeight w:val="340"/>
        </w:trPr>
        <w:tc>
          <w:tcPr>
            <w:tcW w:w="1082" w:type="dxa"/>
            <w:vAlign w:val="center"/>
          </w:tcPr>
          <w:p w:rsidR="00512332" w:rsidRDefault="00512332">
            <w:pPr>
              <w:rPr>
                <w:rFonts w:asciiTheme="minorEastAsia" w:eastAsiaTheme="minorEastAsia" w:hAnsiTheme="minorEastAsia"/>
                <w:color w:val="000000" w:themeColor="text1"/>
              </w:rPr>
            </w:pPr>
          </w:p>
        </w:tc>
        <w:tc>
          <w:tcPr>
            <w:tcW w:w="576"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16" w:dyaOrig="302">
                <v:shape id="_x0000_i1077" type="#_x0000_t75" style="width:16.5pt;height:14.25pt" o:ole="">
                  <v:imagedata r:id="rId114" o:title=""/>
                </v:shape>
                <o:OLEObject Type="Embed" ProgID="Equation.AxMath" ShapeID="_x0000_i1077" DrawAspect="Content" ObjectID="_1606634872" r:id="rId115"/>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85" w:type="dxa"/>
          </w:tcPr>
          <w:p w:rsidR="00512332" w:rsidRDefault="00E80EF5">
            <w:pPr>
              <w:rPr>
                <w:rFonts w:asciiTheme="minorEastAsia" w:eastAsiaTheme="minorEastAsia" w:hAnsiTheme="minorEastAsia"/>
              </w:rPr>
            </w:pPr>
            <w:r>
              <w:rPr>
                <w:rFonts w:asciiTheme="minorEastAsia" w:eastAsiaTheme="minorEastAsia" w:hAnsiTheme="minorEastAsia"/>
              </w:rPr>
              <w:t>所有楼层内隔墙中非砌筑墙体的墙面面积之和，计算时可不扣除门、窗及预留洞口等的面积；</w:t>
            </w:r>
            <w:r>
              <w:rPr>
                <w:rFonts w:asciiTheme="minorEastAsia" w:eastAsiaTheme="minorEastAsia" w:hAnsiTheme="minorEastAsia"/>
              </w:rPr>
              <w:t> </w:t>
            </w:r>
          </w:p>
        </w:tc>
      </w:tr>
      <w:tr w:rsidR="00512332">
        <w:trPr>
          <w:trHeight w:val="340"/>
        </w:trPr>
        <w:tc>
          <w:tcPr>
            <w:tcW w:w="1082" w:type="dxa"/>
            <w:vAlign w:val="center"/>
          </w:tcPr>
          <w:p w:rsidR="00512332" w:rsidRDefault="00512332">
            <w:pPr>
              <w:rPr>
                <w:rFonts w:asciiTheme="minorEastAsia" w:eastAsiaTheme="minorEastAsia" w:hAnsiTheme="minorEastAsia"/>
                <w:color w:val="000000" w:themeColor="text1"/>
              </w:rPr>
            </w:pPr>
          </w:p>
        </w:tc>
        <w:tc>
          <w:tcPr>
            <w:tcW w:w="576" w:type="dxa"/>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0"/>
              </w:rPr>
              <w:object w:dxaOrig="347" w:dyaOrig="301">
                <v:shape id="_x0000_i1078" type="#_x0000_t75" style="width:18pt;height:14.25pt" o:ole="">
                  <v:imagedata r:id="rId116" o:title=""/>
                </v:shape>
                <o:OLEObject Type="Embed" ProgID="Equation.AxMath" ShapeID="_x0000_i1078" DrawAspect="Content" ObjectID="_1606634873" r:id="rId117"/>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85" w:type="dxa"/>
          </w:tcPr>
          <w:p w:rsidR="00512332" w:rsidRDefault="00E80EF5">
            <w:pPr>
              <w:rPr>
                <w:rFonts w:asciiTheme="minorEastAsia" w:eastAsiaTheme="minorEastAsia" w:hAnsiTheme="minorEastAsia"/>
              </w:rPr>
            </w:pPr>
            <w:r>
              <w:rPr>
                <w:rFonts w:asciiTheme="minorEastAsia" w:eastAsiaTheme="minorEastAsia" w:hAnsiTheme="minorEastAsia"/>
              </w:rPr>
              <w:t>所有楼层内隔墙墙面总面积，计算时可不扣除门、窗及预留洞口等的面积。</w:t>
            </w:r>
          </w:p>
        </w:tc>
      </w:tr>
    </w:tbl>
    <w:p w:rsidR="00512332" w:rsidRDefault="00E80EF5">
      <w:pPr>
        <w:pStyle w:val="4"/>
        <w:spacing w:before="120"/>
        <w:rPr>
          <w:color w:val="FF0000"/>
        </w:rPr>
      </w:pPr>
      <w:r>
        <w:rPr>
          <w:rFonts w:hint="eastAsia"/>
          <w:b/>
          <w:kern w:val="2"/>
        </w:rPr>
        <w:t>4.1.14</w:t>
      </w:r>
      <w:r>
        <w:rPr>
          <w:kern w:val="2"/>
        </w:rPr>
        <w:t xml:space="preserve"> </w:t>
      </w:r>
      <w:r>
        <w:rPr>
          <w:rFonts w:hint="eastAsia"/>
          <w:kern w:val="2"/>
        </w:rPr>
        <w:t xml:space="preserve"> </w:t>
      </w:r>
      <w:r>
        <w:t>内隔墙采用墙体、管线、装修一体化的应用比例应根据应用情况，选择下列一种方式进行计算。</w:t>
      </w:r>
    </w:p>
    <w:p w:rsidR="00512332" w:rsidRDefault="00E80EF5">
      <w:pPr>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 xml:space="preserve"> </w:t>
      </w:r>
      <w:r>
        <w:rPr>
          <w:rFonts w:asciiTheme="minorEastAsia" w:eastAsiaTheme="minorEastAsia" w:hAnsiTheme="minorEastAsia"/>
        </w:rPr>
        <w:t>当内隔墙采用墙体、管线、装修一体化时，相应应用比例可按下式计算：</w:t>
      </w:r>
    </w:p>
    <w:p w:rsidR="00512332" w:rsidRDefault="00512332">
      <w:pPr>
        <w:spacing w:line="240" w:lineRule="auto"/>
        <w:jc w:val="right"/>
        <w:rPr>
          <w:rFonts w:asciiTheme="minorEastAsia" w:eastAsiaTheme="minorEastAsia" w:hAnsiTheme="minorEastAsia"/>
        </w:rPr>
      </w:pPr>
      <w:r w:rsidRPr="00512332">
        <w:rPr>
          <w:rFonts w:asciiTheme="minorEastAsia" w:eastAsiaTheme="minorEastAsia" w:hAnsiTheme="minorEastAsia"/>
          <w:color w:val="000000" w:themeColor="text1"/>
          <w:position w:val="-22"/>
        </w:rPr>
        <w:object w:dxaOrig="1722" w:dyaOrig="554">
          <v:shape id="_x0000_i1079" type="#_x0000_t75" style="width:83.25pt;height:26.25pt" o:ole="">
            <v:imagedata r:id="rId118" o:title=""/>
          </v:shape>
          <o:OLEObject Type="Embed" ProgID="Equation.AxMath" ShapeID="_x0000_i1079" DrawAspect="Content" ObjectID="_1606634874" r:id="rId119"/>
        </w:object>
      </w:r>
      <w:r w:rsidR="00E80EF5">
        <w:rPr>
          <w:rFonts w:asciiTheme="minorEastAsia" w:eastAsiaTheme="minorEastAsia" w:hAnsiTheme="minorEastAsia" w:hint="eastAsia"/>
          <w:color w:val="000000" w:themeColor="text1"/>
        </w:rPr>
        <w:t xml:space="preserve">               </w:t>
      </w:r>
      <w:r w:rsidR="00E80EF5">
        <w:rPr>
          <w:rFonts w:asciiTheme="minorEastAsia" w:eastAsiaTheme="minorEastAsia" w:hAnsiTheme="minorEastAsia"/>
        </w:rPr>
        <w:t>（</w:t>
      </w:r>
      <w:r w:rsidR="00E80EF5">
        <w:rPr>
          <w:rFonts w:asciiTheme="minorEastAsia" w:eastAsiaTheme="minorEastAsia" w:hAnsiTheme="minorEastAsia"/>
        </w:rPr>
        <w:t>4.</w:t>
      </w:r>
      <w:r w:rsidR="00E80EF5">
        <w:rPr>
          <w:rFonts w:asciiTheme="minorEastAsia" w:eastAsiaTheme="minorEastAsia" w:hAnsiTheme="minorEastAsia" w:hint="eastAsia"/>
        </w:rPr>
        <w:t>1</w:t>
      </w:r>
      <w:r w:rsidR="00E80EF5">
        <w:rPr>
          <w:rFonts w:asciiTheme="minorEastAsia" w:eastAsiaTheme="minorEastAsia" w:hAnsiTheme="minorEastAsia"/>
        </w:rPr>
        <w:t>.1</w:t>
      </w:r>
      <w:r w:rsidR="00E80EF5">
        <w:rPr>
          <w:rFonts w:asciiTheme="minorEastAsia" w:eastAsiaTheme="minorEastAsia" w:hAnsiTheme="minorEastAsia" w:hint="eastAsia"/>
        </w:rPr>
        <w:t>4</w:t>
      </w:r>
      <w:r w:rsidR="00E80EF5">
        <w:rPr>
          <w:rFonts w:asciiTheme="minorEastAsia" w:eastAsiaTheme="minorEastAsia" w:hAnsiTheme="minorEastAsia"/>
        </w:rPr>
        <w:t>-1</w:t>
      </w:r>
      <w:r w:rsidR="00E80EF5">
        <w:rPr>
          <w:rFonts w:asciiTheme="minorEastAsia" w:eastAsiaTheme="minorEastAsia" w:hAnsiTheme="minorEastAsia"/>
        </w:rPr>
        <w:t>）</w:t>
      </w:r>
    </w:p>
    <w:tbl>
      <w:tblPr>
        <w:tblW w:w="9459" w:type="dxa"/>
        <w:tblLayout w:type="fixed"/>
        <w:tblLook w:val="04A0"/>
      </w:tblPr>
      <w:tblGrid>
        <w:gridCol w:w="1101"/>
        <w:gridCol w:w="610"/>
        <w:gridCol w:w="816"/>
        <w:gridCol w:w="6932"/>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610"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42" w:dyaOrig="302">
                <v:shape id="_x0000_i1080" type="#_x0000_t75" style="width:18pt;height:14.25pt" o:ole="">
                  <v:imagedata r:id="rId120" o:title=""/>
                </v:shape>
                <o:OLEObject Type="Embed" ProgID="Equation.AxMath" ShapeID="_x0000_i1080" DrawAspect="Content" ObjectID="_1606634875" r:id="rId121"/>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32" w:type="dxa"/>
          </w:tcPr>
          <w:p w:rsidR="00512332" w:rsidRDefault="00E80EF5">
            <w:pPr>
              <w:rPr>
                <w:rFonts w:asciiTheme="minorEastAsia" w:eastAsiaTheme="minorEastAsia" w:hAnsiTheme="minorEastAsia"/>
              </w:rPr>
            </w:pPr>
            <w:r>
              <w:rPr>
                <w:rFonts w:asciiTheme="minorEastAsia" w:eastAsiaTheme="minorEastAsia" w:hAnsiTheme="minorEastAsia"/>
              </w:rPr>
              <w:t>内隔墙采用墙体、管线、装修一体化的应用比例；</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610"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392" w:dyaOrig="301">
                <v:shape id="_x0000_i1081" type="#_x0000_t75" style="width:19.5pt;height:14.25pt" o:ole="">
                  <v:imagedata r:id="rId122" o:title=""/>
                </v:shape>
                <o:OLEObject Type="Embed" ProgID="Equation.AxMath" ShapeID="_x0000_i1081" DrawAspect="Content" ObjectID="_1606634876" r:id="rId12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32" w:type="dxa"/>
          </w:tcPr>
          <w:p w:rsidR="00512332" w:rsidRDefault="00E80EF5">
            <w:pPr>
              <w:rPr>
                <w:rFonts w:asciiTheme="minorEastAsia" w:eastAsiaTheme="minorEastAsia" w:hAnsiTheme="minorEastAsia"/>
              </w:rPr>
            </w:pPr>
            <w:r>
              <w:rPr>
                <w:rFonts w:asciiTheme="minorEastAsia" w:eastAsiaTheme="minorEastAsia" w:hAnsiTheme="minorEastAsia"/>
              </w:rPr>
              <w:t>所有楼层内隔墙采用墙体、管线、装修一体化的墙面面积之和，计算时可不扣除门、窗及预留洞口等的面积。</w:t>
            </w:r>
          </w:p>
        </w:tc>
      </w:tr>
    </w:tbl>
    <w:p w:rsidR="00512332" w:rsidRDefault="00E80EF5">
      <w:pPr>
        <w:rPr>
          <w:rFonts w:eastAsiaTheme="minorEastAsia"/>
        </w:rPr>
      </w:pPr>
      <w:r>
        <w:rPr>
          <w:rFonts w:eastAsiaTheme="minorEastAsia"/>
        </w:rPr>
        <w:t xml:space="preserve">2  </w:t>
      </w:r>
      <w:r>
        <w:rPr>
          <w:rFonts w:eastAsiaTheme="minorEastAsia" w:hAnsiTheme="minorEastAsia"/>
        </w:rPr>
        <w:t>当内隔墙采用墙体、管线一体化时，相应应用比例可按下式计算：</w:t>
      </w:r>
    </w:p>
    <w:p w:rsidR="00512332" w:rsidRDefault="00512332">
      <w:pPr>
        <w:spacing w:line="240" w:lineRule="auto"/>
        <w:jc w:val="right"/>
        <w:rPr>
          <w:rFonts w:eastAsiaTheme="minorEastAsia"/>
        </w:rPr>
      </w:pPr>
      <w:r w:rsidRPr="00512332">
        <w:rPr>
          <w:rFonts w:eastAsiaTheme="minorEastAsia"/>
          <w:color w:val="000000" w:themeColor="text1"/>
          <w:position w:val="-22"/>
        </w:rPr>
        <w:object w:dxaOrig="1722" w:dyaOrig="554">
          <v:shape id="_x0000_i1082" type="#_x0000_t75" style="width:83.25pt;height:26.25pt" o:ole="">
            <v:imagedata r:id="rId124" o:title=""/>
          </v:shape>
          <o:OLEObject Type="Embed" ProgID="Equation.AxMath" ShapeID="_x0000_i1082" DrawAspect="Content" ObjectID="_1606634877" r:id="rId125"/>
        </w:object>
      </w:r>
      <w:r w:rsidR="00E80EF5">
        <w:rPr>
          <w:rFonts w:eastAsiaTheme="minorEastAsia"/>
          <w:color w:val="000000" w:themeColor="text1"/>
        </w:rPr>
        <w:t xml:space="preserve">                   </w:t>
      </w:r>
      <w:r w:rsidR="00E80EF5">
        <w:rPr>
          <w:rFonts w:eastAsiaTheme="minorEastAsia" w:hAnsiTheme="minorEastAsia"/>
        </w:rPr>
        <w:t>（</w:t>
      </w:r>
      <w:r w:rsidR="00E80EF5">
        <w:rPr>
          <w:rFonts w:eastAsiaTheme="minorEastAsia"/>
        </w:rPr>
        <w:t>4.1.14-2</w:t>
      </w:r>
      <w:r w:rsidR="00E80EF5">
        <w:rPr>
          <w:rFonts w:eastAsiaTheme="minorEastAsia" w:hAnsiTheme="minorEastAsia"/>
        </w:rPr>
        <w:t>）</w:t>
      </w:r>
    </w:p>
    <w:tbl>
      <w:tblPr>
        <w:tblW w:w="9459" w:type="dxa"/>
        <w:tblLayout w:type="fixed"/>
        <w:tblLook w:val="04A0"/>
      </w:tblPr>
      <w:tblGrid>
        <w:gridCol w:w="1101"/>
        <w:gridCol w:w="610"/>
        <w:gridCol w:w="816"/>
        <w:gridCol w:w="6932"/>
      </w:tblGrid>
      <w:tr w:rsidR="00512332">
        <w:trPr>
          <w:trHeight w:val="340"/>
        </w:trPr>
        <w:tc>
          <w:tcPr>
            <w:tcW w:w="1101" w:type="dxa"/>
          </w:tcPr>
          <w:p w:rsidR="00512332" w:rsidRDefault="00E80EF5">
            <w:pPr>
              <w:rPr>
                <w:rFonts w:eastAsiaTheme="minorEastAsia"/>
              </w:rPr>
            </w:pPr>
            <w:r>
              <w:rPr>
                <w:rFonts w:eastAsiaTheme="minorEastAsia" w:hAnsiTheme="minorEastAsia"/>
              </w:rPr>
              <w:t>式中：</w:t>
            </w:r>
          </w:p>
        </w:tc>
        <w:tc>
          <w:tcPr>
            <w:tcW w:w="610" w:type="dxa"/>
          </w:tcPr>
          <w:p w:rsidR="00512332" w:rsidRDefault="00512332">
            <w:pPr>
              <w:rPr>
                <w:rFonts w:eastAsiaTheme="minorEastAsia"/>
              </w:rPr>
            </w:pPr>
            <w:r w:rsidRPr="00512332">
              <w:rPr>
                <w:rFonts w:eastAsiaTheme="minorEastAsia"/>
                <w:color w:val="000000" w:themeColor="text1"/>
                <w:position w:val="-10"/>
              </w:rPr>
              <w:object w:dxaOrig="342" w:dyaOrig="302">
                <v:shape id="_x0000_i1083" type="#_x0000_t75" style="width:18pt;height:14.25pt" o:ole="">
                  <v:imagedata r:id="rId126" o:title=""/>
                </v:shape>
                <o:OLEObject Type="Embed" ProgID="Equation.AxMath" ShapeID="_x0000_i1083" DrawAspect="Content" ObjectID="_1606634878" r:id="rId127"/>
              </w:object>
            </w:r>
          </w:p>
        </w:tc>
        <w:tc>
          <w:tcPr>
            <w:tcW w:w="816" w:type="dxa"/>
          </w:tcPr>
          <w:p w:rsidR="00512332" w:rsidRDefault="00E80EF5">
            <w:pPr>
              <w:rPr>
                <w:rFonts w:eastAsiaTheme="minorEastAsia"/>
              </w:rPr>
            </w:pPr>
            <w:r>
              <w:rPr>
                <w:rFonts w:eastAsiaTheme="minorEastAsia"/>
              </w:rPr>
              <w:t>——</w:t>
            </w:r>
          </w:p>
        </w:tc>
        <w:tc>
          <w:tcPr>
            <w:tcW w:w="6932" w:type="dxa"/>
          </w:tcPr>
          <w:p w:rsidR="00512332" w:rsidRDefault="00E80EF5">
            <w:pPr>
              <w:rPr>
                <w:rFonts w:eastAsiaTheme="minorEastAsia"/>
              </w:rPr>
            </w:pPr>
            <w:r>
              <w:rPr>
                <w:rFonts w:eastAsiaTheme="minorEastAsia" w:hAnsiTheme="minorEastAsia"/>
              </w:rPr>
              <w:t>内隔墙采用墙体、管线一体化的应用比例；</w:t>
            </w:r>
          </w:p>
        </w:tc>
      </w:tr>
      <w:tr w:rsidR="00512332">
        <w:trPr>
          <w:trHeight w:val="340"/>
        </w:trPr>
        <w:tc>
          <w:tcPr>
            <w:tcW w:w="1101" w:type="dxa"/>
          </w:tcPr>
          <w:p w:rsidR="00512332" w:rsidRDefault="00512332">
            <w:pPr>
              <w:rPr>
                <w:rFonts w:eastAsiaTheme="minorEastAsia"/>
                <w:color w:val="000000" w:themeColor="text1"/>
              </w:rPr>
            </w:pPr>
          </w:p>
        </w:tc>
        <w:tc>
          <w:tcPr>
            <w:tcW w:w="610" w:type="dxa"/>
          </w:tcPr>
          <w:p w:rsidR="00512332" w:rsidRDefault="00512332">
            <w:pPr>
              <w:rPr>
                <w:rFonts w:eastAsiaTheme="minorEastAsia"/>
              </w:rPr>
            </w:pPr>
            <w:r w:rsidRPr="00512332">
              <w:rPr>
                <w:rFonts w:eastAsiaTheme="minorEastAsia"/>
                <w:color w:val="000000" w:themeColor="text1"/>
                <w:position w:val="-10"/>
              </w:rPr>
              <w:object w:dxaOrig="392" w:dyaOrig="301">
                <v:shape id="_x0000_i1084" type="#_x0000_t75" style="width:19.5pt;height:14.25pt" o:ole="">
                  <v:imagedata r:id="rId128" o:title=""/>
                </v:shape>
                <o:OLEObject Type="Embed" ProgID="Equation.AxMath" ShapeID="_x0000_i1084" DrawAspect="Content" ObjectID="_1606634879" r:id="rId129"/>
              </w:object>
            </w:r>
          </w:p>
        </w:tc>
        <w:tc>
          <w:tcPr>
            <w:tcW w:w="816" w:type="dxa"/>
          </w:tcPr>
          <w:p w:rsidR="00512332" w:rsidRDefault="00E80EF5">
            <w:pPr>
              <w:rPr>
                <w:rFonts w:eastAsiaTheme="minorEastAsia"/>
              </w:rPr>
            </w:pPr>
            <w:r>
              <w:rPr>
                <w:rFonts w:eastAsiaTheme="minorEastAsia"/>
              </w:rPr>
              <w:t>——</w:t>
            </w:r>
          </w:p>
        </w:tc>
        <w:tc>
          <w:tcPr>
            <w:tcW w:w="6932" w:type="dxa"/>
          </w:tcPr>
          <w:p w:rsidR="00512332" w:rsidRDefault="00E80EF5">
            <w:pPr>
              <w:rPr>
                <w:rFonts w:eastAsiaTheme="minorEastAsia"/>
              </w:rPr>
            </w:pPr>
            <w:r>
              <w:rPr>
                <w:rFonts w:eastAsiaTheme="minorEastAsia" w:hAnsiTheme="minorEastAsia"/>
              </w:rPr>
              <w:t>所有楼层内隔墙采用墙体、管线一体化的墙面面积之和，计算时可不扣除门、窗及预留洞口等的面积。</w:t>
            </w:r>
          </w:p>
        </w:tc>
      </w:tr>
    </w:tbl>
    <w:p w:rsidR="00512332" w:rsidRDefault="00E80EF5">
      <w:pPr>
        <w:pStyle w:val="4"/>
        <w:spacing w:before="120"/>
      </w:pPr>
      <w:r>
        <w:rPr>
          <w:b/>
          <w:kern w:val="2"/>
        </w:rPr>
        <w:t>4.</w:t>
      </w:r>
      <w:r>
        <w:rPr>
          <w:rFonts w:hint="eastAsia"/>
          <w:b/>
          <w:kern w:val="2"/>
        </w:rPr>
        <w:t>1</w:t>
      </w:r>
      <w:r>
        <w:rPr>
          <w:b/>
          <w:kern w:val="2"/>
        </w:rPr>
        <w:t>.1</w:t>
      </w:r>
      <w:r>
        <w:rPr>
          <w:rFonts w:hint="eastAsia"/>
          <w:b/>
          <w:kern w:val="2"/>
        </w:rPr>
        <w:t>5</w:t>
      </w:r>
      <w:r>
        <w:rPr>
          <w:kern w:val="2"/>
        </w:rPr>
        <w:t xml:space="preserve"> </w:t>
      </w:r>
      <w:r>
        <w:t>干式工法楼面的应用比例应按下式计算：</w:t>
      </w:r>
    </w:p>
    <w:p w:rsidR="00512332" w:rsidRDefault="00512332">
      <w:pPr>
        <w:pStyle w:val="af2"/>
        <w:shd w:val="clear" w:color="auto" w:fill="FFFFFF"/>
        <w:adjustRightInd w:val="0"/>
        <w:snapToGrid w:val="0"/>
        <w:spacing w:before="0" w:beforeAutospacing="0" w:after="0" w:afterAutospacing="0" w:line="240" w:lineRule="auto"/>
        <w:jc w:val="right"/>
        <w:rPr>
          <w:rFonts w:ascii="Times New Roman" w:eastAsiaTheme="minorEastAsia" w:hAnsi="Times New Roman" w:cs="Times New Roman"/>
          <w:sz w:val="21"/>
          <w:szCs w:val="21"/>
        </w:rPr>
      </w:pPr>
      <w:r w:rsidRPr="00512332">
        <w:rPr>
          <w:rFonts w:asciiTheme="minorEastAsia" w:eastAsiaTheme="minorEastAsia" w:hAnsiTheme="minorEastAsia"/>
          <w:color w:val="000000" w:themeColor="text1"/>
          <w:position w:val="-22"/>
        </w:rPr>
        <w:object w:dxaOrig="1578" w:dyaOrig="554">
          <v:shape id="_x0000_i1085" type="#_x0000_t75" style="width:76.5pt;height:26.25pt" o:ole="">
            <v:imagedata r:id="rId130" o:title=""/>
          </v:shape>
          <o:OLEObject Type="Embed" ProgID="Equation.AxMath" ShapeID="_x0000_i1085" DrawAspect="Content" ObjectID="_1606634880" r:id="rId131"/>
        </w:object>
      </w:r>
      <w:r w:rsidR="00E80EF5">
        <w:rPr>
          <w:rFonts w:asciiTheme="minorEastAsia" w:eastAsiaTheme="minorEastAsia" w:hAnsiTheme="minorEastAsia" w:hint="eastAsia"/>
          <w:color w:val="000000" w:themeColor="text1"/>
        </w:rPr>
        <w:t xml:space="preserve">           </w:t>
      </w:r>
      <w:r w:rsidR="00E80EF5">
        <w:rPr>
          <w:rFonts w:ascii="Times New Roman" w:eastAsiaTheme="minorEastAsia" w:hAnsi="Times New Roman" w:cs="Times New Roman"/>
          <w:sz w:val="21"/>
          <w:szCs w:val="21"/>
        </w:rPr>
        <w:t xml:space="preserve">              </w:t>
      </w:r>
      <w:r w:rsidR="00E80EF5">
        <w:rPr>
          <w:rFonts w:ascii="Times New Roman" w:eastAsiaTheme="minorEastAsia" w:hAnsi="Times New Roman" w:cs="Times New Roman"/>
          <w:szCs w:val="30"/>
        </w:rPr>
        <w:t xml:space="preserve">  </w:t>
      </w:r>
      <w:r w:rsidR="00E80EF5">
        <w:rPr>
          <w:rFonts w:ascii="Times New Roman" w:eastAsiaTheme="minorEastAsia" w:hAnsi="Times New Roman" w:cs="Times New Roman"/>
          <w:szCs w:val="30"/>
        </w:rPr>
        <w:t>（</w:t>
      </w:r>
      <w:r w:rsidR="00E80EF5">
        <w:rPr>
          <w:rFonts w:ascii="Times New Roman" w:eastAsiaTheme="minorEastAsia" w:hAnsi="Times New Roman" w:cs="Times New Roman"/>
          <w:szCs w:val="30"/>
        </w:rPr>
        <w:t>4.1.15</w:t>
      </w:r>
      <w:r w:rsidR="00E80EF5">
        <w:rPr>
          <w:rFonts w:ascii="Times New Roman" w:eastAsiaTheme="minorEastAsia" w:hAnsi="Times New Roman" w:cs="Times New Roman"/>
          <w:szCs w:val="30"/>
        </w:rPr>
        <w:t>）</w:t>
      </w:r>
    </w:p>
    <w:tbl>
      <w:tblPr>
        <w:tblW w:w="9459" w:type="dxa"/>
        <w:tblLayout w:type="fixed"/>
        <w:tblLook w:val="04A0"/>
      </w:tblPr>
      <w:tblGrid>
        <w:gridCol w:w="1083"/>
        <w:gridCol w:w="577"/>
        <w:gridCol w:w="816"/>
        <w:gridCol w:w="6983"/>
      </w:tblGrid>
      <w:tr w:rsidR="00512332">
        <w:trPr>
          <w:trHeight w:val="340"/>
        </w:trPr>
        <w:tc>
          <w:tcPr>
            <w:tcW w:w="1083"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23" w:dyaOrig="362">
                <v:shape id="_x0000_i1086" type="#_x0000_t75" style="width:15pt;height:18pt" o:ole="">
                  <v:imagedata r:id="rId132" o:title=""/>
                </v:shape>
                <o:OLEObject Type="Embed" ProgID="Equation.AxMath" ShapeID="_x0000_i1086" DrawAspect="Content" ObjectID="_1606634881" r:id="rId13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83" w:type="dxa"/>
          </w:tcPr>
          <w:p w:rsidR="00512332" w:rsidRDefault="00E80EF5">
            <w:pPr>
              <w:rPr>
                <w:rFonts w:asciiTheme="minorEastAsia" w:eastAsiaTheme="minorEastAsia" w:hAnsiTheme="minorEastAsia"/>
              </w:rPr>
            </w:pPr>
            <w:r>
              <w:rPr>
                <w:rFonts w:asciiTheme="minorEastAsia" w:eastAsiaTheme="minorEastAsia" w:hAnsiTheme="minorEastAsia"/>
              </w:rPr>
              <w:t>干式工法楼面的应用比例；</w:t>
            </w:r>
          </w:p>
        </w:tc>
      </w:tr>
      <w:tr w:rsidR="00512332">
        <w:trPr>
          <w:trHeight w:val="340"/>
        </w:trPr>
        <w:tc>
          <w:tcPr>
            <w:tcW w:w="1083"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85" w:dyaOrig="362">
                <v:shape id="_x0000_i1087" type="#_x0000_t75" style="width:18pt;height:18pt" o:ole="">
                  <v:imagedata r:id="rId134" o:title=""/>
                </v:shape>
                <o:OLEObject Type="Embed" ProgID="Equation.AxMath" ShapeID="_x0000_i1087" DrawAspect="Content" ObjectID="_1606634882" r:id="rId135"/>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83" w:type="dxa"/>
          </w:tcPr>
          <w:p w:rsidR="00512332" w:rsidRDefault="00E80EF5">
            <w:pPr>
              <w:rPr>
                <w:rFonts w:asciiTheme="minorEastAsia" w:eastAsiaTheme="minorEastAsia" w:hAnsiTheme="minorEastAsia"/>
              </w:rPr>
            </w:pPr>
            <w:r>
              <w:rPr>
                <w:rFonts w:asciiTheme="minorEastAsia" w:eastAsiaTheme="minorEastAsia" w:hAnsiTheme="minorEastAsia"/>
              </w:rPr>
              <w:t>所有楼层采用干式工法楼面的水平投影面积之和；</w:t>
            </w:r>
          </w:p>
        </w:tc>
      </w:tr>
      <w:tr w:rsidR="00512332">
        <w:trPr>
          <w:trHeight w:val="340"/>
        </w:trPr>
        <w:tc>
          <w:tcPr>
            <w:tcW w:w="1083"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color w:val="000000" w:themeColor="text1"/>
              </w:rPr>
            </w:pPr>
            <w:r w:rsidRPr="00512332">
              <w:rPr>
                <w:rFonts w:asciiTheme="minorEastAsia" w:eastAsiaTheme="minorEastAsia" w:hAnsiTheme="minorEastAsia"/>
                <w:color w:val="000000" w:themeColor="text1"/>
                <w:position w:val="-12"/>
              </w:rPr>
              <w:object w:dxaOrig="297" w:dyaOrig="362">
                <v:shape id="_x0000_i1088" type="#_x0000_t75" style="width:14.25pt;height:18pt" o:ole="">
                  <v:imagedata r:id="rId136" o:title=""/>
                </v:shape>
                <o:OLEObject Type="Embed" ProgID="Equation.AxMath" ShapeID="_x0000_i1088" DrawAspect="Content" ObjectID="_1606634883" r:id="rId137"/>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83" w:type="dxa"/>
          </w:tcPr>
          <w:p w:rsidR="00512332" w:rsidRDefault="00E80EF5">
            <w:pPr>
              <w:rPr>
                <w:rFonts w:asciiTheme="minorEastAsia" w:eastAsiaTheme="minorEastAsia" w:hAnsiTheme="minorEastAsia"/>
              </w:rPr>
            </w:pPr>
            <w:r>
              <w:rPr>
                <w:rFonts w:asciiTheme="minorEastAsia" w:eastAsiaTheme="minorEastAsia" w:hAnsiTheme="minorEastAsia"/>
              </w:rPr>
              <w:t>所有楼层的梁、楼板、阳台板等构件的水平投影面积之和。</w:t>
            </w:r>
          </w:p>
        </w:tc>
      </w:tr>
    </w:tbl>
    <w:p w:rsidR="00512332" w:rsidRDefault="00E80EF5">
      <w:pPr>
        <w:pStyle w:val="4"/>
        <w:spacing w:before="120"/>
      </w:pPr>
      <w:r>
        <w:rPr>
          <w:b/>
          <w:kern w:val="2"/>
        </w:rPr>
        <w:t>4.</w:t>
      </w:r>
      <w:r>
        <w:rPr>
          <w:rFonts w:hint="eastAsia"/>
          <w:b/>
          <w:kern w:val="2"/>
        </w:rPr>
        <w:t>1</w:t>
      </w:r>
      <w:r>
        <w:rPr>
          <w:b/>
          <w:kern w:val="2"/>
        </w:rPr>
        <w:t>.1</w:t>
      </w:r>
      <w:r>
        <w:rPr>
          <w:rFonts w:hint="eastAsia"/>
          <w:b/>
          <w:kern w:val="2"/>
        </w:rPr>
        <w:t>6</w:t>
      </w:r>
      <w:r>
        <w:rPr>
          <w:kern w:val="2"/>
        </w:rPr>
        <w:t xml:space="preserve"> </w:t>
      </w:r>
      <w:r>
        <w:t>集成厨房的橱柜和厨房设备等应全部安装到位。墙面、吊顶和</w:t>
      </w:r>
      <w:r>
        <w:lastRenderedPageBreak/>
        <w:t>楼面中干式工法的应用比例应按下式计算：</w:t>
      </w:r>
    </w:p>
    <w:p w:rsidR="00512332" w:rsidRDefault="00512332" w:rsidP="009D0024">
      <w:pPr>
        <w:pStyle w:val="af2"/>
        <w:shd w:val="clear" w:color="auto" w:fill="FFFFFF"/>
        <w:adjustRightInd w:val="0"/>
        <w:snapToGrid w:val="0"/>
        <w:spacing w:beforeLines="50" w:beforeAutospacing="0" w:afterLines="50" w:afterAutospacing="0" w:line="240" w:lineRule="auto"/>
        <w:jc w:val="right"/>
        <w:rPr>
          <w:rFonts w:ascii="Times New Roman" w:eastAsiaTheme="minorEastAsia" w:hAnsi="Times New Roman" w:cs="Times New Roman"/>
          <w:color w:val="000000"/>
          <w:sz w:val="21"/>
          <w:szCs w:val="21"/>
        </w:rPr>
      </w:pPr>
      <w:r w:rsidRPr="00512332">
        <w:rPr>
          <w:rFonts w:asciiTheme="minorEastAsia" w:eastAsiaTheme="minorEastAsia" w:hAnsiTheme="minorEastAsia"/>
          <w:color w:val="000000" w:themeColor="text1"/>
          <w:position w:val="-22"/>
        </w:rPr>
        <w:object w:dxaOrig="1564" w:dyaOrig="554">
          <v:shape id="_x0000_i1089" type="#_x0000_t75" style="width:75.75pt;height:26.25pt" o:ole="">
            <v:imagedata r:id="rId138" o:title=""/>
          </v:shape>
          <o:OLEObject Type="Embed" ProgID="Equation.AxMath" ShapeID="_x0000_i1089" DrawAspect="Content" ObjectID="_1606634884" r:id="rId139"/>
        </w:object>
      </w:r>
      <w:r w:rsidR="00E80EF5">
        <w:rPr>
          <w:rFonts w:asciiTheme="minorEastAsia" w:eastAsiaTheme="minorEastAsia" w:hAnsiTheme="minorEastAsia" w:hint="eastAsia"/>
          <w:color w:val="000000" w:themeColor="text1"/>
        </w:rPr>
        <w:t xml:space="preserve">                           </w:t>
      </w:r>
      <w:r w:rsidR="00E80EF5">
        <w:rPr>
          <w:rFonts w:ascii="Times New Roman" w:eastAsiaTheme="minorEastAsia" w:hAnsiTheme="minorEastAsia" w:cs="Times New Roman"/>
          <w:color w:val="000000"/>
          <w:szCs w:val="30"/>
        </w:rPr>
        <w:t>（</w:t>
      </w:r>
      <w:r w:rsidR="00E80EF5">
        <w:rPr>
          <w:rFonts w:ascii="Times New Roman" w:eastAsiaTheme="minorEastAsia" w:hAnsi="Times New Roman" w:cs="Times New Roman"/>
          <w:color w:val="000000"/>
          <w:szCs w:val="30"/>
        </w:rPr>
        <w:t>4.</w:t>
      </w:r>
      <w:r w:rsidR="00E80EF5">
        <w:rPr>
          <w:rFonts w:ascii="Times New Roman" w:eastAsiaTheme="minorEastAsia" w:hAnsi="Times New Roman" w:cs="Times New Roman" w:hint="eastAsia"/>
          <w:color w:val="000000"/>
          <w:szCs w:val="30"/>
        </w:rPr>
        <w:t>1</w:t>
      </w:r>
      <w:r w:rsidR="00E80EF5">
        <w:rPr>
          <w:rFonts w:ascii="Times New Roman" w:eastAsiaTheme="minorEastAsia" w:hAnsi="Times New Roman" w:cs="Times New Roman"/>
          <w:color w:val="000000"/>
          <w:szCs w:val="30"/>
        </w:rPr>
        <w:t>.1</w:t>
      </w:r>
      <w:r w:rsidR="00E80EF5">
        <w:rPr>
          <w:rFonts w:ascii="Times New Roman" w:eastAsiaTheme="minorEastAsia" w:hAnsi="Times New Roman" w:cs="Times New Roman" w:hint="eastAsia"/>
          <w:color w:val="000000"/>
          <w:szCs w:val="30"/>
        </w:rPr>
        <w:t>6</w:t>
      </w:r>
      <w:r w:rsidR="00E80EF5">
        <w:rPr>
          <w:rFonts w:ascii="Times New Roman" w:eastAsiaTheme="minorEastAsia" w:hAnsiTheme="minorEastAsia" w:cs="Times New Roman"/>
          <w:color w:val="000000"/>
          <w:szCs w:val="30"/>
        </w:rPr>
        <w:t>）</w:t>
      </w:r>
    </w:p>
    <w:tbl>
      <w:tblPr>
        <w:tblW w:w="9459" w:type="dxa"/>
        <w:tblLayout w:type="fixed"/>
        <w:tblLook w:val="04A0"/>
      </w:tblPr>
      <w:tblGrid>
        <w:gridCol w:w="1101"/>
        <w:gridCol w:w="577"/>
        <w:gridCol w:w="816"/>
        <w:gridCol w:w="6965"/>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16" w:dyaOrig="362">
                <v:shape id="_x0000_i1090" type="#_x0000_t75" style="width:15pt;height:18pt" o:ole="">
                  <v:imagedata r:id="rId140" o:title=""/>
                </v:shape>
                <o:OLEObject Type="Embed" ProgID="Equation.AxMath" ShapeID="_x0000_i1090" DrawAspect="Content" ObjectID="_1606634885" r:id="rId141"/>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集成厨房干式工法的应用比例；</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77" w:dyaOrig="362">
                <v:shape id="_x0000_i1091" type="#_x0000_t75" style="width:18pt;height:18pt" o:ole="">
                  <v:imagedata r:id="rId142" o:title=""/>
                </v:shape>
                <o:OLEObject Type="Embed" ProgID="Equation.AxMath" ShapeID="_x0000_i1091" DrawAspect="Content" ObjectID="_1606634886" r:id="rId14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所有楼层厨房墙面、吊顶和楼面采用干式工法的面积之和；</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07" w:dyaOrig="362">
                <v:shape id="_x0000_i1092" type="#_x0000_t75" style="width:15pt;height:18pt" o:ole="">
                  <v:imagedata r:id="rId144" o:title=""/>
                </v:shape>
                <o:OLEObject Type="Embed" ProgID="Equation.AxMath" ShapeID="_x0000_i1092" DrawAspect="Content" ObjectID="_1606634887" r:id="rId145"/>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所有楼层厨房的墙面、吊顶和楼面的总面积。</w:t>
            </w:r>
          </w:p>
        </w:tc>
      </w:tr>
    </w:tbl>
    <w:p w:rsidR="00512332" w:rsidRDefault="00E80EF5">
      <w:pPr>
        <w:pStyle w:val="4"/>
        <w:spacing w:before="120"/>
      </w:pPr>
      <w:r>
        <w:rPr>
          <w:b/>
          <w:kern w:val="2"/>
        </w:rPr>
        <w:t>4.</w:t>
      </w:r>
      <w:r>
        <w:rPr>
          <w:rFonts w:hint="eastAsia"/>
          <w:b/>
          <w:kern w:val="2"/>
        </w:rPr>
        <w:t>1</w:t>
      </w:r>
      <w:r>
        <w:rPr>
          <w:b/>
          <w:kern w:val="2"/>
        </w:rPr>
        <w:t>.1</w:t>
      </w:r>
      <w:r>
        <w:rPr>
          <w:rFonts w:hint="eastAsia"/>
          <w:b/>
          <w:kern w:val="2"/>
        </w:rPr>
        <w:t>7</w:t>
      </w:r>
      <w:r>
        <w:rPr>
          <w:kern w:val="2"/>
        </w:rPr>
        <w:t xml:space="preserve"> </w:t>
      </w:r>
      <w:r>
        <w:t>集成卫生间的洁具设备等应全部安装到位。墙面、吊顶和楼面中干式工法的应用比例应按下式计算：</w:t>
      </w:r>
    </w:p>
    <w:p w:rsidR="00512332" w:rsidRDefault="00512332">
      <w:pPr>
        <w:pStyle w:val="af2"/>
        <w:shd w:val="clear" w:color="auto" w:fill="FFFFFF"/>
        <w:adjustRightInd w:val="0"/>
        <w:snapToGrid w:val="0"/>
        <w:spacing w:before="0" w:beforeAutospacing="0" w:after="0" w:afterAutospacing="0" w:line="240" w:lineRule="auto"/>
        <w:jc w:val="right"/>
        <w:rPr>
          <w:rFonts w:ascii="Times New Roman" w:eastAsiaTheme="minorEastAsia" w:hAnsi="Times New Roman" w:cs="Times New Roman"/>
          <w:color w:val="000000"/>
          <w:sz w:val="21"/>
          <w:szCs w:val="21"/>
        </w:rPr>
      </w:pPr>
      <w:r w:rsidRPr="00512332">
        <w:rPr>
          <w:rFonts w:asciiTheme="minorEastAsia" w:eastAsiaTheme="minorEastAsia" w:hAnsiTheme="minorEastAsia"/>
          <w:color w:val="000000" w:themeColor="text1"/>
          <w:position w:val="-22"/>
        </w:rPr>
        <w:object w:dxaOrig="1564" w:dyaOrig="554">
          <v:shape id="_x0000_i1093" type="#_x0000_t75" style="width:75.75pt;height:26.25pt" o:ole="">
            <v:imagedata r:id="rId146" o:title=""/>
          </v:shape>
          <o:OLEObject Type="Embed" ProgID="Equation.AxMath" ShapeID="_x0000_i1093" DrawAspect="Content" ObjectID="_1606634888" r:id="rId147"/>
        </w:object>
      </w:r>
      <w:r w:rsidR="00E80EF5">
        <w:rPr>
          <w:rFonts w:asciiTheme="minorEastAsia" w:eastAsiaTheme="minorEastAsia" w:hAnsiTheme="minorEastAsia" w:hint="eastAsia"/>
          <w:color w:val="000000" w:themeColor="text1"/>
        </w:rPr>
        <w:t xml:space="preserve">                            </w:t>
      </w:r>
      <w:r w:rsidR="00E80EF5">
        <w:rPr>
          <w:rFonts w:ascii="Times New Roman" w:eastAsiaTheme="minorEastAsia" w:hAnsiTheme="minorEastAsia" w:cs="Times New Roman"/>
          <w:color w:val="000000"/>
          <w:szCs w:val="30"/>
        </w:rPr>
        <w:t>（</w:t>
      </w:r>
      <w:r w:rsidR="00E80EF5">
        <w:rPr>
          <w:rFonts w:ascii="Times New Roman" w:eastAsiaTheme="minorEastAsia" w:hAnsi="Times New Roman" w:cs="Times New Roman"/>
          <w:color w:val="000000"/>
          <w:szCs w:val="30"/>
        </w:rPr>
        <w:t>4.</w:t>
      </w:r>
      <w:r w:rsidR="00E80EF5">
        <w:rPr>
          <w:rFonts w:ascii="Times New Roman" w:eastAsiaTheme="minorEastAsia" w:hAnsi="Times New Roman" w:cs="Times New Roman" w:hint="eastAsia"/>
          <w:color w:val="000000"/>
          <w:szCs w:val="30"/>
        </w:rPr>
        <w:t>1</w:t>
      </w:r>
      <w:r w:rsidR="00E80EF5">
        <w:rPr>
          <w:rFonts w:ascii="Times New Roman" w:eastAsiaTheme="minorEastAsia" w:hAnsi="Times New Roman" w:cs="Times New Roman"/>
          <w:color w:val="000000"/>
          <w:szCs w:val="30"/>
        </w:rPr>
        <w:t>.1</w:t>
      </w:r>
      <w:r w:rsidR="00E80EF5">
        <w:rPr>
          <w:rFonts w:ascii="Times New Roman" w:eastAsiaTheme="minorEastAsia" w:hAnsi="Times New Roman" w:cs="Times New Roman" w:hint="eastAsia"/>
          <w:color w:val="000000"/>
          <w:szCs w:val="30"/>
        </w:rPr>
        <w:t>7</w:t>
      </w:r>
      <w:r w:rsidR="00E80EF5">
        <w:rPr>
          <w:rFonts w:ascii="Times New Roman" w:eastAsiaTheme="minorEastAsia" w:hAnsiTheme="minorEastAsia" w:cs="Times New Roman"/>
          <w:color w:val="000000"/>
          <w:szCs w:val="30"/>
        </w:rPr>
        <w:t>）</w:t>
      </w:r>
    </w:p>
    <w:tbl>
      <w:tblPr>
        <w:tblW w:w="9459" w:type="dxa"/>
        <w:tblLayout w:type="fixed"/>
        <w:tblLook w:val="04A0"/>
      </w:tblPr>
      <w:tblGrid>
        <w:gridCol w:w="1101"/>
        <w:gridCol w:w="577"/>
        <w:gridCol w:w="816"/>
        <w:gridCol w:w="6965"/>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16" w:dyaOrig="362">
                <v:shape id="_x0000_i1094" type="#_x0000_t75" style="width:15pt;height:18pt" o:ole="">
                  <v:imagedata r:id="rId148" o:title=""/>
                </v:shape>
                <o:OLEObject Type="Embed" ProgID="Equation.AxMath" ShapeID="_x0000_i1094" DrawAspect="Content" ObjectID="_1606634889" r:id="rId149"/>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集成卫生间干式工法的应用比例；</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77" w:dyaOrig="362">
                <v:shape id="_x0000_i1095" type="#_x0000_t75" style="width:18pt;height:18pt" o:ole="">
                  <v:imagedata r:id="rId150" o:title=""/>
                </v:shape>
                <o:OLEObject Type="Embed" ProgID="Equation.AxMath" ShapeID="_x0000_i1095" DrawAspect="Content" ObjectID="_1606634890" r:id="rId151"/>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所有楼层卫生间墙面、吊顶和楼面采用干式工法的面积之和；</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7"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295" w:dyaOrig="362">
                <v:shape id="_x0000_i1096" type="#_x0000_t75" style="width:13.5pt;height:18pt" o:ole="">
                  <v:imagedata r:id="rId152" o:title=""/>
                </v:shape>
                <o:OLEObject Type="Embed" ProgID="Equation.AxMath" ShapeID="_x0000_i1096" DrawAspect="Content" ObjectID="_1606634891" r:id="rId153"/>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5" w:type="dxa"/>
          </w:tcPr>
          <w:p w:rsidR="00512332" w:rsidRDefault="00E80EF5">
            <w:pPr>
              <w:rPr>
                <w:rFonts w:asciiTheme="minorEastAsia" w:eastAsiaTheme="minorEastAsia" w:hAnsiTheme="minorEastAsia"/>
              </w:rPr>
            </w:pPr>
            <w:r>
              <w:rPr>
                <w:rFonts w:asciiTheme="minorEastAsia" w:eastAsiaTheme="minorEastAsia" w:hAnsiTheme="minorEastAsia"/>
              </w:rPr>
              <w:t>所有楼层卫生间墙面、吊顶和楼面的总面积。</w:t>
            </w:r>
          </w:p>
        </w:tc>
      </w:tr>
    </w:tbl>
    <w:p w:rsidR="00512332" w:rsidRDefault="00E80EF5">
      <w:pPr>
        <w:pStyle w:val="4"/>
        <w:spacing w:before="120"/>
      </w:pPr>
      <w:r>
        <w:rPr>
          <w:rFonts w:hint="eastAsia"/>
          <w:b/>
        </w:rPr>
        <w:t>4.1.18</w:t>
      </w:r>
      <w:r>
        <w:rPr>
          <w:b/>
        </w:rPr>
        <w:t xml:space="preserve">  </w:t>
      </w:r>
      <w:r>
        <w:t>管线分离</w:t>
      </w:r>
      <w:r>
        <w:rPr>
          <w:rFonts w:hAnsiTheme="minorEastAsia" w:hint="eastAsia"/>
        </w:rPr>
        <w:t>比例应按下式</w:t>
      </w:r>
      <w:r>
        <w:rPr>
          <w:rFonts w:hAnsiTheme="minorEastAsia"/>
        </w:rPr>
        <w:t>计算：</w:t>
      </w:r>
    </w:p>
    <w:p w:rsidR="00512332" w:rsidRDefault="00512332">
      <w:pPr>
        <w:pStyle w:val="afffa"/>
        <w:adjustRightInd w:val="0"/>
        <w:snapToGrid w:val="0"/>
        <w:spacing w:line="240" w:lineRule="auto"/>
        <w:ind w:right="85" w:firstLineChars="0" w:firstLine="0"/>
        <w:jc w:val="right"/>
        <w:rPr>
          <w:rFonts w:eastAsiaTheme="minorEastAsia"/>
          <w:color w:val="000000" w:themeColor="text1"/>
          <w:szCs w:val="21"/>
        </w:rPr>
      </w:pPr>
      <w:r w:rsidRPr="00512332">
        <w:rPr>
          <w:rFonts w:eastAsiaTheme="minorEastAsia"/>
          <w:color w:val="000000" w:themeColor="text1"/>
          <w:position w:val="-17"/>
          <w:szCs w:val="21"/>
        </w:rPr>
        <w:object w:dxaOrig="1177" w:dyaOrig="446">
          <v:shape id="_x0000_i1097" type="#_x0000_t75" style="width:54pt;height:21pt" o:ole="">
            <v:imagedata r:id="rId154" o:title=""/>
          </v:shape>
          <o:OLEObject Type="Embed" ProgID="Equation.AxMath" ShapeID="_x0000_i1097" DrawAspect="Content" ObjectID="_1606634892" r:id="rId155"/>
        </w:object>
      </w:r>
      <w:r w:rsidR="00E80EF5">
        <w:rPr>
          <w:rFonts w:eastAsiaTheme="minorEastAsia"/>
          <w:color w:val="000000" w:themeColor="text1"/>
          <w:szCs w:val="21"/>
        </w:rPr>
        <w:t xml:space="preserve">  </w:t>
      </w:r>
      <w:r w:rsidR="00E80EF5">
        <w:rPr>
          <w:rFonts w:eastAsiaTheme="minorEastAsia" w:hint="eastAsia"/>
          <w:color w:val="000000" w:themeColor="text1"/>
          <w:szCs w:val="21"/>
        </w:rPr>
        <w:t xml:space="preserve">     </w:t>
      </w:r>
      <w:r w:rsidR="00E80EF5">
        <w:rPr>
          <w:rFonts w:eastAsiaTheme="minorEastAsia"/>
          <w:color w:val="000000" w:themeColor="text1"/>
          <w:szCs w:val="21"/>
        </w:rPr>
        <w:t xml:space="preserve">                 </w:t>
      </w:r>
      <w:r w:rsidR="00E80EF5">
        <w:rPr>
          <w:rFonts w:ascii="Times New Roman" w:eastAsiaTheme="minorEastAsia" w:hAnsi="Times New Roman"/>
          <w:color w:val="000000" w:themeColor="text1"/>
          <w:sz w:val="30"/>
          <w:szCs w:val="30"/>
        </w:rPr>
        <w:t xml:space="preserve"> (4.1.18)</w:t>
      </w:r>
    </w:p>
    <w:tbl>
      <w:tblPr>
        <w:tblW w:w="9459" w:type="dxa"/>
        <w:tblLayout w:type="fixed"/>
        <w:tblLook w:val="04A0"/>
      </w:tblPr>
      <w:tblGrid>
        <w:gridCol w:w="1101"/>
        <w:gridCol w:w="576"/>
        <w:gridCol w:w="816"/>
        <w:gridCol w:w="6966"/>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576"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23" w:dyaOrig="362">
                <v:shape id="_x0000_i1098" type="#_x0000_t75" style="width:15pt;height:18pt" o:ole="">
                  <v:imagedata r:id="rId156" o:title=""/>
                </v:shape>
                <o:OLEObject Type="Embed" ProgID="Equation.AxMath" ShapeID="_x0000_i1098" DrawAspect="Content" ObjectID="_1606634893" r:id="rId157"/>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6" w:type="dxa"/>
          </w:tcPr>
          <w:p w:rsidR="00512332" w:rsidRDefault="00E80EF5">
            <w:pPr>
              <w:rPr>
                <w:rFonts w:asciiTheme="minorEastAsia" w:eastAsiaTheme="minorEastAsia" w:hAnsiTheme="minorEastAsia"/>
              </w:rPr>
            </w:pPr>
            <w:r>
              <w:rPr>
                <w:rFonts w:asciiTheme="minorEastAsia" w:eastAsiaTheme="minorEastAsia" w:hAnsiTheme="minorEastAsia" w:hint="eastAsia"/>
              </w:rPr>
              <w:t>管线分离</w:t>
            </w:r>
            <w:r>
              <w:rPr>
                <w:rFonts w:asciiTheme="minorEastAsia" w:eastAsiaTheme="minorEastAsia" w:hAnsiTheme="minorEastAsia"/>
              </w:rPr>
              <w:t>比例；</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576"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2"/>
              </w:rPr>
              <w:object w:dxaOrig="394" w:dyaOrig="362">
                <v:shape id="_x0000_i1099" type="#_x0000_t75" style="width:18pt;height:18pt" o:ole="">
                  <v:imagedata r:id="rId158" o:title=""/>
                </v:shape>
                <o:OLEObject Type="Embed" ProgID="Equation.AxMath" ShapeID="_x0000_i1099" DrawAspect="Content" ObjectID="_1606634894" r:id="rId159"/>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6966" w:type="dxa"/>
          </w:tcPr>
          <w:p w:rsidR="00512332" w:rsidRDefault="00E80EF5">
            <w:pPr>
              <w:rPr>
                <w:rFonts w:asciiTheme="minorEastAsia" w:eastAsiaTheme="minorEastAsia" w:hAnsiTheme="minorEastAsia"/>
              </w:rPr>
            </w:pPr>
            <w:r>
              <w:rPr>
                <w:rFonts w:asciiTheme="minorEastAsia" w:eastAsiaTheme="minorEastAsia" w:hAnsiTheme="minorEastAsia" w:hint="eastAsia"/>
              </w:rPr>
              <w:t>电气、给排水、采暖采用管线分离计入的比例值，其中电气专业取</w:t>
            </w:r>
            <w:r>
              <w:rPr>
                <w:rFonts w:asciiTheme="minorEastAsia" w:eastAsiaTheme="minorEastAsia" w:hAnsiTheme="minorEastAsia" w:hint="eastAsia"/>
              </w:rPr>
              <w:t>50%</w:t>
            </w:r>
            <w:r>
              <w:rPr>
                <w:rFonts w:asciiTheme="minorEastAsia" w:eastAsiaTheme="minorEastAsia" w:hAnsiTheme="minorEastAsia" w:hint="eastAsia"/>
              </w:rPr>
              <w:t>，给排水专业取</w:t>
            </w:r>
            <w:r>
              <w:rPr>
                <w:rFonts w:asciiTheme="minorEastAsia" w:eastAsiaTheme="minorEastAsia" w:hAnsiTheme="minorEastAsia" w:hint="eastAsia"/>
              </w:rPr>
              <w:t>25%</w:t>
            </w:r>
            <w:r>
              <w:rPr>
                <w:rFonts w:asciiTheme="minorEastAsia" w:eastAsiaTheme="minorEastAsia" w:hAnsiTheme="minorEastAsia" w:hint="eastAsia"/>
              </w:rPr>
              <w:t>，采暖专业取</w:t>
            </w:r>
            <w:r>
              <w:rPr>
                <w:rFonts w:asciiTheme="minorEastAsia" w:eastAsiaTheme="minorEastAsia" w:hAnsiTheme="minorEastAsia" w:hint="eastAsia"/>
              </w:rPr>
              <w:t>25%</w:t>
            </w:r>
            <w:r>
              <w:rPr>
                <w:rFonts w:asciiTheme="minorEastAsia" w:eastAsiaTheme="minorEastAsia" w:hAnsiTheme="minorEastAsia"/>
              </w:rPr>
              <w:t>；</w:t>
            </w:r>
          </w:p>
        </w:tc>
      </w:tr>
    </w:tbl>
    <w:p w:rsidR="00512332" w:rsidRDefault="00E80EF5">
      <w:pPr>
        <w:pStyle w:val="3"/>
        <w:spacing w:before="600" w:line="400" w:lineRule="exact"/>
        <w:ind w:firstLine="642"/>
        <w:jc w:val="center"/>
        <w:rPr>
          <w:szCs w:val="28"/>
        </w:rPr>
      </w:pPr>
      <w:bookmarkStart w:id="36" w:name="_Toc431905673"/>
      <w:bookmarkStart w:id="37" w:name="_Toc532848522"/>
      <w:bookmarkStart w:id="38" w:name="_Toc532848597"/>
      <w:r>
        <w:rPr>
          <w:szCs w:val="28"/>
        </w:rPr>
        <w:t>4.2</w:t>
      </w:r>
      <w:r>
        <w:rPr>
          <w:rFonts w:hint="eastAsia"/>
          <w:szCs w:val="28"/>
        </w:rPr>
        <w:t>预制率计算</w:t>
      </w:r>
      <w:bookmarkEnd w:id="36"/>
      <w:bookmarkEnd w:id="37"/>
      <w:bookmarkEnd w:id="38"/>
    </w:p>
    <w:p w:rsidR="00512332" w:rsidRDefault="00E80EF5">
      <w:pPr>
        <w:pStyle w:val="4"/>
        <w:spacing w:before="120"/>
      </w:pPr>
      <w:r>
        <w:rPr>
          <w:rFonts w:hint="eastAsia"/>
          <w:b/>
        </w:rPr>
        <w:t xml:space="preserve">4.2.1 </w:t>
      </w:r>
      <w:r>
        <w:t>预制率</w:t>
      </w:r>
      <w:r>
        <w:rPr>
          <w:rFonts w:hint="eastAsia"/>
        </w:rPr>
        <w:t>应</w:t>
      </w:r>
      <w:r>
        <w:rPr>
          <w:rFonts w:asciiTheme="minorEastAsia" w:eastAsiaTheme="minorEastAsia" w:hAnsiTheme="minorEastAsia" w:hint="eastAsia"/>
          <w:color w:val="000000"/>
          <w:szCs w:val="21"/>
        </w:rPr>
        <w:t>按下式计算：</w:t>
      </w:r>
    </w:p>
    <w:p w:rsidR="00512332" w:rsidRDefault="00512332">
      <w:pPr>
        <w:adjustRightInd w:val="0"/>
        <w:snapToGrid w:val="0"/>
        <w:ind w:right="28"/>
        <w:jc w:val="right"/>
        <w:rPr>
          <w:color w:val="000000" w:themeColor="text1"/>
        </w:rPr>
      </w:pPr>
      <w:r w:rsidRPr="00512332">
        <w:rPr>
          <w:color w:val="000000" w:themeColor="text1"/>
          <w:position w:val="-10"/>
        </w:rPr>
        <w:object w:dxaOrig="1055" w:dyaOrig="302">
          <v:shape id="_x0000_i1100" type="#_x0000_t75" style="width:54pt;height:18pt" o:ole="">
            <v:imagedata r:id="rId160" o:title=""/>
          </v:shape>
          <o:OLEObject Type="Embed" ProgID="Equation.AxMath" ShapeID="_x0000_i1100" DrawAspect="Content" ObjectID="_1606634895" r:id="rId161"/>
        </w:object>
      </w:r>
      <w:r w:rsidR="00E80EF5">
        <w:rPr>
          <w:rFonts w:hint="eastAsia"/>
          <w:color w:val="000000" w:themeColor="text1"/>
        </w:rPr>
        <w:t xml:space="preserve">                           </w:t>
      </w:r>
      <w:r w:rsidR="00E80EF5">
        <w:rPr>
          <w:color w:val="000000" w:themeColor="text1"/>
        </w:rPr>
        <w:t xml:space="preserve"> </w:t>
      </w:r>
      <w:r w:rsidR="00E80EF5">
        <w:rPr>
          <w:rFonts w:eastAsiaTheme="minorEastAsia" w:hAnsiTheme="minorEastAsia"/>
          <w:color w:val="000000" w:themeColor="text1"/>
        </w:rPr>
        <w:t>（</w:t>
      </w:r>
      <w:r w:rsidR="00E80EF5">
        <w:rPr>
          <w:rFonts w:eastAsiaTheme="minorEastAsia"/>
          <w:color w:val="000000" w:themeColor="text1"/>
        </w:rPr>
        <w:t>4.2.1</w:t>
      </w:r>
      <w:r w:rsidR="00E80EF5">
        <w:rPr>
          <w:rFonts w:eastAsiaTheme="minorEastAsia" w:hAnsiTheme="minorEastAsia"/>
          <w:color w:val="000000" w:themeColor="text1"/>
        </w:rPr>
        <w:t>）</w:t>
      </w:r>
    </w:p>
    <w:tbl>
      <w:tblPr>
        <w:tblStyle w:val="afa"/>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6"/>
        <w:gridCol w:w="456"/>
        <w:gridCol w:w="636"/>
        <w:gridCol w:w="7275"/>
      </w:tblGrid>
      <w:tr w:rsidR="00512332">
        <w:trPr>
          <w:trHeight w:val="340"/>
        </w:trPr>
        <w:tc>
          <w:tcPr>
            <w:tcW w:w="1086" w:type="dxa"/>
          </w:tcPr>
          <w:p w:rsidR="00512332" w:rsidRDefault="00E80EF5">
            <w:r>
              <w:t>式中：</w:t>
            </w:r>
          </w:p>
        </w:tc>
        <w:tc>
          <w:tcPr>
            <w:tcW w:w="456" w:type="dxa"/>
          </w:tcPr>
          <w:p w:rsidR="00512332" w:rsidRDefault="00512332">
            <w:pPr>
              <w:rPr>
                <w:sz w:val="21"/>
                <w:szCs w:val="21"/>
              </w:rPr>
            </w:pPr>
            <w:r w:rsidRPr="00512332">
              <w:rPr>
                <w:rFonts w:asciiTheme="minorEastAsia"/>
                <w:color w:val="000000" w:themeColor="text1"/>
                <w:position w:val="-10"/>
              </w:rPr>
              <w:object w:dxaOrig="201" w:dyaOrig="299">
                <v:shape id="_x0000_i1101" type="#_x0000_t75" style="width:10.5pt;height:14.25pt" o:ole="">
                  <v:imagedata r:id="rId162" o:title=""/>
                </v:shape>
                <o:OLEObject Type="Embed" ProgID="Equation.AxMath" ShapeID="_x0000_i1101" DrawAspect="Content" ObjectID="_1606634896" r:id="rId163"/>
              </w:object>
            </w:r>
          </w:p>
        </w:tc>
        <w:tc>
          <w:tcPr>
            <w:tcW w:w="636" w:type="dxa"/>
          </w:tcPr>
          <w:p w:rsidR="00512332" w:rsidRDefault="00E80EF5">
            <w:pPr>
              <w:rPr>
                <w:sz w:val="21"/>
                <w:szCs w:val="21"/>
              </w:rPr>
            </w:pPr>
            <w:r>
              <w:rPr>
                <w:sz w:val="21"/>
                <w:szCs w:val="21"/>
              </w:rPr>
              <w:t>——</w:t>
            </w:r>
          </w:p>
        </w:tc>
        <w:tc>
          <w:tcPr>
            <w:tcW w:w="7275" w:type="dxa"/>
          </w:tcPr>
          <w:p w:rsidR="00512332" w:rsidRDefault="00E80EF5">
            <w:pPr>
              <w:rPr>
                <w:rFonts w:asciiTheme="minorEastAsia"/>
                <w:color w:val="000000" w:themeColor="text1"/>
              </w:rPr>
            </w:pPr>
            <w:r>
              <w:rPr>
                <w:rFonts w:asciiTheme="minorEastAsia" w:hint="eastAsia"/>
                <w:color w:val="000000" w:themeColor="text1"/>
              </w:rPr>
              <w:t>装配式混凝土建筑单体预制率；</w:t>
            </w:r>
          </w:p>
        </w:tc>
      </w:tr>
      <w:tr w:rsidR="00512332">
        <w:trPr>
          <w:trHeight w:val="340"/>
        </w:trPr>
        <w:tc>
          <w:tcPr>
            <w:tcW w:w="1086" w:type="dxa"/>
          </w:tcPr>
          <w:p w:rsidR="00512332" w:rsidRDefault="00512332">
            <w:pPr>
              <w:rPr>
                <w:rFonts w:asciiTheme="minorEastAsia"/>
                <w:color w:val="000000" w:themeColor="text1"/>
              </w:rPr>
            </w:pPr>
          </w:p>
        </w:tc>
        <w:tc>
          <w:tcPr>
            <w:tcW w:w="456" w:type="dxa"/>
          </w:tcPr>
          <w:p w:rsidR="00512332" w:rsidRDefault="00512332">
            <w:pPr>
              <w:rPr>
                <w:sz w:val="21"/>
                <w:szCs w:val="21"/>
              </w:rPr>
            </w:pPr>
            <w:r w:rsidRPr="00512332">
              <w:rPr>
                <w:rFonts w:asciiTheme="minorEastAsia"/>
                <w:color w:val="000000" w:themeColor="text1"/>
                <w:position w:val="-10"/>
              </w:rPr>
              <w:object w:dxaOrig="216" w:dyaOrig="301">
                <v:shape id="_x0000_i1102" type="#_x0000_t75" style="width:10.5pt;height:14.25pt" o:ole="">
                  <v:imagedata r:id="rId164" o:title=""/>
                </v:shape>
                <o:OLEObject Type="Embed" ProgID="Equation.AxMath" ShapeID="_x0000_i1102" DrawAspect="Content" ObjectID="_1606634897" r:id="rId165"/>
              </w:object>
            </w:r>
          </w:p>
        </w:tc>
        <w:tc>
          <w:tcPr>
            <w:tcW w:w="636" w:type="dxa"/>
          </w:tcPr>
          <w:p w:rsidR="00512332" w:rsidRDefault="00E80EF5">
            <w:pPr>
              <w:rPr>
                <w:sz w:val="21"/>
                <w:szCs w:val="21"/>
              </w:rPr>
            </w:pPr>
            <w:r>
              <w:rPr>
                <w:sz w:val="21"/>
                <w:szCs w:val="21"/>
              </w:rPr>
              <w:t>——</w:t>
            </w:r>
          </w:p>
        </w:tc>
        <w:tc>
          <w:tcPr>
            <w:tcW w:w="7275" w:type="dxa"/>
          </w:tcPr>
          <w:p w:rsidR="00512332" w:rsidRDefault="00E80EF5">
            <w:pPr>
              <w:rPr>
                <w:rFonts w:asciiTheme="minorEastAsia"/>
                <w:color w:val="000000" w:themeColor="text1"/>
              </w:rPr>
            </w:pPr>
            <w:r>
              <w:rPr>
                <w:rFonts w:asciiTheme="minorEastAsia" w:hint="eastAsia"/>
                <w:color w:val="000000" w:themeColor="text1"/>
              </w:rPr>
              <w:t>基本预制率；</w:t>
            </w:r>
          </w:p>
        </w:tc>
      </w:tr>
      <w:tr w:rsidR="00512332">
        <w:trPr>
          <w:trHeight w:val="340"/>
        </w:trPr>
        <w:tc>
          <w:tcPr>
            <w:tcW w:w="1086" w:type="dxa"/>
          </w:tcPr>
          <w:p w:rsidR="00512332" w:rsidRDefault="00512332">
            <w:pPr>
              <w:rPr>
                <w:rFonts w:asciiTheme="minorEastAsia"/>
                <w:color w:val="000000" w:themeColor="text1"/>
              </w:rPr>
            </w:pPr>
          </w:p>
        </w:tc>
        <w:tc>
          <w:tcPr>
            <w:tcW w:w="456" w:type="dxa"/>
          </w:tcPr>
          <w:p w:rsidR="00512332" w:rsidRDefault="00512332">
            <w:pPr>
              <w:rPr>
                <w:rFonts w:asciiTheme="minorEastAsia"/>
                <w:color w:val="000000" w:themeColor="text1"/>
              </w:rPr>
            </w:pPr>
            <w:r w:rsidRPr="00512332">
              <w:rPr>
                <w:rFonts w:asciiTheme="minorEastAsia"/>
                <w:color w:val="000000" w:themeColor="text1"/>
                <w:position w:val="-10"/>
              </w:rPr>
              <w:object w:dxaOrig="239" w:dyaOrig="301">
                <v:shape id="_x0000_i1103" type="#_x0000_t75" style="width:12pt;height:14.25pt" o:ole="">
                  <v:imagedata r:id="rId166" o:title=""/>
                </v:shape>
                <o:OLEObject Type="Embed" ProgID="Equation.AxMath" ShapeID="_x0000_i1103" DrawAspect="Content" ObjectID="_1606634898" r:id="rId167"/>
              </w:object>
            </w:r>
          </w:p>
        </w:tc>
        <w:tc>
          <w:tcPr>
            <w:tcW w:w="636" w:type="dxa"/>
          </w:tcPr>
          <w:p w:rsidR="00512332" w:rsidRDefault="00E80EF5">
            <w:pPr>
              <w:rPr>
                <w:sz w:val="21"/>
                <w:szCs w:val="21"/>
              </w:rPr>
            </w:pPr>
            <w:r>
              <w:rPr>
                <w:sz w:val="21"/>
                <w:szCs w:val="21"/>
              </w:rPr>
              <w:t>——</w:t>
            </w:r>
          </w:p>
        </w:tc>
        <w:tc>
          <w:tcPr>
            <w:tcW w:w="7275" w:type="dxa"/>
          </w:tcPr>
          <w:p w:rsidR="00512332" w:rsidRDefault="00E80EF5">
            <w:pPr>
              <w:rPr>
                <w:rFonts w:asciiTheme="minorEastAsia"/>
                <w:color w:val="000000" w:themeColor="text1"/>
              </w:rPr>
            </w:pPr>
            <w:r>
              <w:rPr>
                <w:rFonts w:asciiTheme="minorEastAsia" w:hint="eastAsia"/>
                <w:color w:val="000000" w:themeColor="text1"/>
              </w:rPr>
              <w:t>附加预制率。</w:t>
            </w:r>
          </w:p>
        </w:tc>
      </w:tr>
    </w:tbl>
    <w:p w:rsidR="00512332" w:rsidRDefault="00E80EF5">
      <w:pPr>
        <w:pStyle w:val="af2"/>
        <w:shd w:val="clear" w:color="auto" w:fill="FFFFFF"/>
        <w:adjustRightInd w:val="0"/>
        <w:snapToGrid w:val="0"/>
        <w:spacing w:before="0" w:beforeAutospacing="0" w:after="0" w:afterAutospacing="0" w:line="320" w:lineRule="exact"/>
        <w:jc w:val="center"/>
        <w:rPr>
          <w:rStyle w:val="af4"/>
          <w:rFonts w:ascii="Times New Roman" w:eastAsia="黑体" w:hAnsi="Times New Roman" w:cs="Times New Roman"/>
          <w:b w:val="0"/>
          <w:sz w:val="28"/>
          <w:szCs w:val="28"/>
        </w:rPr>
      </w:pPr>
      <w:r>
        <w:rPr>
          <w:rStyle w:val="af4"/>
          <w:rFonts w:ascii="Times New Roman" w:eastAsia="黑体" w:hAnsi="Times New Roman" w:cs="Times New Roman"/>
          <w:sz w:val="28"/>
          <w:szCs w:val="28"/>
        </w:rPr>
        <w:t>表</w:t>
      </w:r>
      <w:r>
        <w:rPr>
          <w:rStyle w:val="af4"/>
          <w:rFonts w:ascii="Times New Roman" w:eastAsia="黑体" w:hAnsi="Times New Roman" w:cs="Times New Roman" w:hint="eastAsia"/>
          <w:sz w:val="28"/>
          <w:szCs w:val="28"/>
        </w:rPr>
        <w:t>4.2</w:t>
      </w:r>
      <w:r>
        <w:rPr>
          <w:rStyle w:val="af4"/>
          <w:rFonts w:ascii="Times New Roman" w:eastAsia="黑体" w:hAnsi="Times New Roman" w:cs="Times New Roman"/>
          <w:sz w:val="28"/>
          <w:szCs w:val="28"/>
        </w:rPr>
        <w:t>.</w:t>
      </w:r>
      <w:r>
        <w:rPr>
          <w:rStyle w:val="af4"/>
          <w:rFonts w:ascii="Times New Roman" w:eastAsia="黑体" w:hAnsi="Times New Roman" w:cs="Times New Roman" w:hint="eastAsia"/>
          <w:sz w:val="28"/>
          <w:szCs w:val="28"/>
        </w:rPr>
        <w:t>1</w:t>
      </w:r>
      <w:r>
        <w:rPr>
          <w:rStyle w:val="af4"/>
          <w:rFonts w:ascii="Times New Roman" w:eastAsia="黑体" w:hAnsi="Times New Roman" w:cs="Times New Roman"/>
          <w:sz w:val="28"/>
          <w:szCs w:val="28"/>
        </w:rPr>
        <w:t>装配式建筑</w:t>
      </w:r>
      <w:r>
        <w:rPr>
          <w:rStyle w:val="af4"/>
          <w:rFonts w:ascii="Times New Roman" w:eastAsia="黑体" w:hAnsi="Times New Roman" w:cs="Times New Roman" w:hint="eastAsia"/>
          <w:sz w:val="28"/>
          <w:szCs w:val="28"/>
        </w:rPr>
        <w:t>预制率</w:t>
      </w:r>
      <w:r>
        <w:rPr>
          <w:rStyle w:val="af4"/>
          <w:rFonts w:ascii="Times New Roman" w:eastAsia="黑体" w:hAnsi="Times New Roman" w:cs="Times New Roman"/>
          <w:sz w:val="28"/>
          <w:szCs w:val="28"/>
        </w:rPr>
        <w:t>评分表</w:t>
      </w:r>
    </w:p>
    <w:tbl>
      <w:tblPr>
        <w:tblStyle w:val="afa"/>
        <w:tblW w:w="9742" w:type="dxa"/>
        <w:tblBorders>
          <w:top w:val="single" w:sz="12" w:space="0" w:color="auto"/>
          <w:left w:val="single" w:sz="12" w:space="0" w:color="auto"/>
          <w:bottom w:val="single" w:sz="12" w:space="0" w:color="auto"/>
          <w:right w:val="single" w:sz="12" w:space="0" w:color="auto"/>
        </w:tblBorders>
        <w:tblLayout w:type="fixed"/>
        <w:tblLook w:val="04A0"/>
      </w:tblPr>
      <w:tblGrid>
        <w:gridCol w:w="816"/>
        <w:gridCol w:w="852"/>
        <w:gridCol w:w="708"/>
        <w:gridCol w:w="709"/>
        <w:gridCol w:w="1876"/>
        <w:gridCol w:w="2518"/>
        <w:gridCol w:w="1185"/>
        <w:gridCol w:w="1078"/>
      </w:tblGrid>
      <w:tr w:rsidR="00512332">
        <w:trPr>
          <w:trHeight w:val="397"/>
        </w:trPr>
        <w:tc>
          <w:tcPr>
            <w:tcW w:w="4961" w:type="dxa"/>
            <w:gridSpan w:val="5"/>
            <w:vAlign w:val="center"/>
          </w:tcPr>
          <w:p w:rsidR="00512332" w:rsidRDefault="00E80EF5">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r>
              <w:rPr>
                <w:rStyle w:val="af4"/>
                <w:rFonts w:asciiTheme="minorEastAsia" w:eastAsiaTheme="minorEastAsia" w:hAnsiTheme="minorEastAsia" w:cs="Times New Roman" w:hint="eastAsia"/>
                <w:sz w:val="28"/>
                <w:szCs w:val="28"/>
              </w:rPr>
              <w:t>评价项</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r>
              <w:rPr>
                <w:rStyle w:val="af4"/>
                <w:rFonts w:asciiTheme="minorEastAsia" w:eastAsiaTheme="minorEastAsia" w:hAnsiTheme="minorEastAsia" w:cs="Times New Roman" w:hint="eastAsia"/>
                <w:sz w:val="28"/>
                <w:szCs w:val="28"/>
              </w:rPr>
              <w:t>评价要求</w:t>
            </w:r>
          </w:p>
        </w:tc>
        <w:tc>
          <w:tcPr>
            <w:tcW w:w="1185" w:type="dxa"/>
          </w:tcPr>
          <w:p w:rsidR="00512332" w:rsidRDefault="00E80EF5">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r>
              <w:rPr>
                <w:rStyle w:val="af4"/>
                <w:rFonts w:asciiTheme="minorEastAsia" w:eastAsiaTheme="minorEastAsia" w:hAnsiTheme="minorEastAsia" w:cs="Times New Roman" w:hint="eastAsia"/>
                <w:sz w:val="28"/>
                <w:szCs w:val="28"/>
              </w:rPr>
              <w:t>预制率分值</w:t>
            </w:r>
          </w:p>
        </w:tc>
        <w:tc>
          <w:tcPr>
            <w:tcW w:w="1078" w:type="dxa"/>
          </w:tcPr>
          <w:p w:rsidR="00512332" w:rsidRDefault="00E80EF5">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r>
              <w:rPr>
                <w:rStyle w:val="af4"/>
                <w:rFonts w:asciiTheme="minorEastAsia" w:eastAsiaTheme="minorEastAsia" w:hAnsiTheme="minorEastAsia" w:cs="Times New Roman" w:hint="eastAsia"/>
                <w:sz w:val="28"/>
                <w:szCs w:val="28"/>
              </w:rPr>
              <w:t>最低分值</w:t>
            </w:r>
          </w:p>
        </w:tc>
      </w:tr>
      <w:tr w:rsidR="00512332">
        <w:tc>
          <w:tcPr>
            <w:tcW w:w="816" w:type="dxa"/>
            <w:vAlign w:val="center"/>
          </w:tcPr>
          <w:p w:rsidR="00512332" w:rsidRDefault="00E80EF5">
            <w:pPr>
              <w:pStyle w:val="af2"/>
              <w:adjustRightInd w:val="0"/>
              <w:snapToGrid w:val="0"/>
              <w:spacing w:before="240" w:beforeAutospacing="0" w:after="0" w:afterAutospacing="0" w:line="320" w:lineRule="exact"/>
              <w:jc w:val="center"/>
              <w:rPr>
                <w:rStyle w:val="af4"/>
                <w:rFonts w:asciiTheme="minorEastAsia" w:eastAsiaTheme="minorEastAsia" w:hAnsiTheme="minorEastAsia" w:cs="Times New Roman"/>
                <w:b w:val="0"/>
                <w:sz w:val="28"/>
                <w:szCs w:val="28"/>
              </w:rPr>
            </w:pPr>
            <w:r>
              <w:rPr>
                <w:rStyle w:val="af4"/>
                <w:rFonts w:asciiTheme="minorEastAsia" w:eastAsiaTheme="minorEastAsia" w:hAnsiTheme="minorEastAsia" w:cs="Times New Roman" w:hint="eastAsia"/>
                <w:sz w:val="28"/>
                <w:szCs w:val="28"/>
              </w:rPr>
              <w:t>基本</w:t>
            </w:r>
            <w:r>
              <w:rPr>
                <w:rStyle w:val="af4"/>
                <w:rFonts w:asciiTheme="minorEastAsia" w:eastAsiaTheme="minorEastAsia" w:hAnsiTheme="minorEastAsia" w:cs="Times New Roman" w:hint="eastAsia"/>
                <w:sz w:val="28"/>
                <w:szCs w:val="28"/>
              </w:rPr>
              <w:lastRenderedPageBreak/>
              <w:t>预制率（</w:t>
            </w:r>
            <w:r w:rsidR="00512332" w:rsidRPr="00512332">
              <w:rPr>
                <w:rFonts w:asciiTheme="minorEastAsia" w:eastAsiaTheme="minorEastAsia" w:hAnsiTheme="minorEastAsia"/>
                <w:color w:val="000000" w:themeColor="text1"/>
                <w:position w:val="-10"/>
                <w:sz w:val="28"/>
                <w:szCs w:val="28"/>
              </w:rPr>
              <w:object w:dxaOrig="216" w:dyaOrig="301">
                <v:shape id="_x0000_i1104" type="#_x0000_t75" style="width:10.5pt;height:15pt" o:ole="">
                  <v:imagedata r:id="rId164" o:title=""/>
                </v:shape>
                <o:OLEObject Type="Embed" ProgID="Equation.AxMath" ShapeID="_x0000_i1104" DrawAspect="Content" ObjectID="_1606634899" r:id="rId168"/>
              </w:object>
            </w:r>
            <w:r>
              <w:rPr>
                <w:rStyle w:val="af4"/>
                <w:rFonts w:asciiTheme="minorEastAsia" w:eastAsiaTheme="minorEastAsia" w:hAnsiTheme="minorEastAsia" w:cs="Times New Roman" w:hint="eastAsia"/>
                <w:sz w:val="28"/>
                <w:szCs w:val="28"/>
              </w:rPr>
              <w:t>）</w:t>
            </w:r>
          </w:p>
        </w:tc>
        <w:tc>
          <w:tcPr>
            <w:tcW w:w="4145" w:type="dxa"/>
            <w:gridSpan w:val="4"/>
          </w:tcPr>
          <w:p w:rsidR="00512332" w:rsidRDefault="00E80EF5">
            <w:pPr>
              <w:pStyle w:val="af2"/>
              <w:adjustRightInd w:val="0"/>
              <w:snapToGrid w:val="0"/>
              <w:spacing w:before="0" w:beforeAutospacing="0" w:after="0" w:afterAutospacing="0" w:line="320" w:lineRule="exact"/>
              <w:ind w:firstLine="4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主体结构部件（预制柱</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斜撑、预制梁、预制剪力墙、预制</w:t>
            </w:r>
            <w:r>
              <w:rPr>
                <w:rFonts w:asciiTheme="minorEastAsia" w:eastAsiaTheme="minorEastAsia" w:hAnsiTheme="minorEastAsia" w:hint="eastAsia"/>
                <w:color w:val="000000" w:themeColor="text1"/>
                <w:sz w:val="28"/>
                <w:szCs w:val="28"/>
              </w:rPr>
              <w:lastRenderedPageBreak/>
              <w:t>楼板、预制楼梯、预制阳台、预制设备平台、预制连廊、预制空调板等）、</w:t>
            </w:r>
            <w:r>
              <w:rPr>
                <w:rFonts w:asciiTheme="minorEastAsia" w:eastAsiaTheme="minorEastAsia" w:hAnsiTheme="minorEastAsia"/>
                <w:color w:val="000000" w:themeColor="text1"/>
                <w:sz w:val="28"/>
                <w:szCs w:val="28"/>
              </w:rPr>
              <w:t>围护结构预制</w:t>
            </w:r>
            <w:r>
              <w:rPr>
                <w:rFonts w:asciiTheme="minorEastAsia" w:eastAsiaTheme="minorEastAsia" w:hAnsiTheme="minorEastAsia" w:hint="eastAsia"/>
                <w:color w:val="000000" w:themeColor="text1"/>
                <w:sz w:val="28"/>
                <w:szCs w:val="28"/>
              </w:rPr>
              <w:t>部品（</w:t>
            </w:r>
            <w:r>
              <w:rPr>
                <w:rFonts w:asciiTheme="minorEastAsia" w:eastAsiaTheme="minorEastAsia" w:hAnsiTheme="minorEastAsia"/>
                <w:color w:val="000000" w:themeColor="text1"/>
                <w:sz w:val="28"/>
                <w:szCs w:val="28"/>
              </w:rPr>
              <w:t>预制</w:t>
            </w:r>
            <w:r>
              <w:rPr>
                <w:rFonts w:asciiTheme="minorEastAsia" w:eastAsiaTheme="minorEastAsia" w:hAnsiTheme="minorEastAsia" w:hint="eastAsia"/>
                <w:color w:val="000000" w:themeColor="text1"/>
                <w:sz w:val="28"/>
                <w:szCs w:val="28"/>
              </w:rPr>
              <w:t>非承重</w:t>
            </w:r>
            <w:r>
              <w:rPr>
                <w:rFonts w:asciiTheme="minorEastAsia" w:eastAsiaTheme="minorEastAsia" w:hAnsiTheme="minorEastAsia"/>
                <w:color w:val="000000" w:themeColor="text1"/>
                <w:sz w:val="28"/>
                <w:szCs w:val="28"/>
              </w:rPr>
              <w:t>外墙板、预制凸窗</w:t>
            </w:r>
            <w:r>
              <w:rPr>
                <w:rFonts w:asciiTheme="minorEastAsia" w:eastAsiaTheme="minorEastAsia" w:hAnsiTheme="minorEastAsia" w:hint="eastAsia"/>
                <w:color w:val="000000" w:themeColor="text1"/>
                <w:sz w:val="28"/>
                <w:szCs w:val="28"/>
              </w:rPr>
              <w:t>）、非承重混凝土内隔墙的</w:t>
            </w:r>
            <w:r>
              <w:rPr>
                <w:rFonts w:asciiTheme="minorEastAsia" w:eastAsiaTheme="minorEastAsia" w:hAnsiTheme="minorEastAsia"/>
                <w:color w:val="000000" w:themeColor="text1"/>
                <w:sz w:val="28"/>
                <w:szCs w:val="28"/>
              </w:rPr>
              <w:t>应用比例</w:t>
            </w:r>
          </w:p>
        </w:tc>
        <w:tc>
          <w:tcPr>
            <w:tcW w:w="2518" w:type="dxa"/>
            <w:vAlign w:val="center"/>
          </w:tcPr>
          <w:p w:rsidR="00512332" w:rsidRDefault="00E80EF5">
            <w:pPr>
              <w:pStyle w:val="af2"/>
              <w:adjustRightInd w:val="0"/>
              <w:snapToGrid w:val="0"/>
              <w:spacing w:before="0" w:after="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装配式混凝土建筑单体±</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以上</w:t>
            </w:r>
            <w:r>
              <w:rPr>
                <w:rFonts w:asciiTheme="minorEastAsia" w:eastAsiaTheme="minorEastAsia" w:hAnsiTheme="minorEastAsia" w:hint="eastAsia"/>
                <w:sz w:val="28"/>
                <w:szCs w:val="28"/>
              </w:rPr>
              <w:lastRenderedPageBreak/>
              <w:t>的主体结构、围护结构、非承重内隔墙中，预制构件的混凝土用量占混凝土总用量的体积比</w:t>
            </w:r>
          </w:p>
        </w:tc>
        <w:tc>
          <w:tcPr>
            <w:tcW w:w="1185" w:type="dxa"/>
            <w:vAlign w:val="center"/>
          </w:tcPr>
          <w:p w:rsidR="00512332" w:rsidRDefault="00E80EF5">
            <w:pPr>
              <w:pStyle w:val="af2"/>
              <w:adjustRightInd w:val="0"/>
              <w:snapToGrid w:val="0"/>
              <w:spacing w:before="0" w:after="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按公式</w:t>
            </w:r>
            <w:r>
              <w:rPr>
                <w:rFonts w:asciiTheme="minorEastAsia" w:eastAsiaTheme="minorEastAsia" w:hAnsiTheme="minorEastAsia"/>
                <w:color w:val="000000" w:themeColor="text1"/>
                <w:sz w:val="28"/>
                <w:szCs w:val="28"/>
              </w:rPr>
              <w:t>计算</w:t>
            </w:r>
          </w:p>
        </w:tc>
        <w:tc>
          <w:tcPr>
            <w:tcW w:w="107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预制率要求的</w:t>
            </w:r>
            <w:r>
              <w:rPr>
                <w:rFonts w:asciiTheme="minorEastAsia" w:eastAsiaTheme="minorEastAsia" w:hAnsiTheme="minorEastAsia" w:hint="eastAsia"/>
                <w:color w:val="000000" w:themeColor="text1"/>
                <w:sz w:val="28"/>
                <w:szCs w:val="28"/>
              </w:rPr>
              <w:lastRenderedPageBreak/>
              <w:t>50%</w:t>
            </w:r>
          </w:p>
        </w:tc>
      </w:tr>
      <w:tr w:rsidR="00512332">
        <w:trPr>
          <w:trHeight w:val="397"/>
        </w:trPr>
        <w:tc>
          <w:tcPr>
            <w:tcW w:w="816" w:type="dxa"/>
            <w:vMerge w:val="restart"/>
            <w:vAlign w:val="center"/>
          </w:tcPr>
          <w:p w:rsidR="00512332" w:rsidRDefault="00E80EF5">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r>
              <w:rPr>
                <w:rStyle w:val="af4"/>
                <w:rFonts w:asciiTheme="minorEastAsia" w:eastAsiaTheme="minorEastAsia" w:hAnsiTheme="minorEastAsia" w:cs="Times New Roman" w:hint="eastAsia"/>
                <w:sz w:val="28"/>
                <w:szCs w:val="28"/>
              </w:rPr>
              <w:lastRenderedPageBreak/>
              <w:t>附加预制率（</w:t>
            </w:r>
            <w:r w:rsidR="00512332" w:rsidRPr="00512332">
              <w:rPr>
                <w:rFonts w:asciiTheme="minorEastAsia" w:eastAsiaTheme="minorEastAsia" w:hAnsiTheme="minorEastAsia"/>
                <w:color w:val="000000" w:themeColor="text1"/>
                <w:position w:val="-10"/>
                <w:sz w:val="28"/>
                <w:szCs w:val="28"/>
              </w:rPr>
              <w:object w:dxaOrig="239" w:dyaOrig="301">
                <v:shape id="_x0000_i1105" type="#_x0000_t75" style="width:12pt;height:15pt" o:ole="">
                  <v:imagedata r:id="rId166" o:title=""/>
                </v:shape>
                <o:OLEObject Type="Embed" ProgID="Equation.AxMath" ShapeID="_x0000_i1105" DrawAspect="Content" ObjectID="_1606634900" r:id="rId169"/>
              </w:object>
            </w:r>
            <w:r>
              <w:rPr>
                <w:rStyle w:val="af4"/>
                <w:rFonts w:asciiTheme="minorEastAsia" w:eastAsiaTheme="minorEastAsia" w:hAnsiTheme="minorEastAsia" w:cs="Times New Roman" w:hint="eastAsia"/>
                <w:sz w:val="28"/>
                <w:szCs w:val="28"/>
              </w:rPr>
              <w:t>）</w:t>
            </w:r>
          </w:p>
        </w:tc>
        <w:tc>
          <w:tcPr>
            <w:tcW w:w="852" w:type="dxa"/>
            <w:vMerge w:val="restart"/>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建筑新技术（</w:t>
            </w:r>
            <w:r w:rsidR="00512332" w:rsidRPr="00512332">
              <w:rPr>
                <w:rFonts w:asciiTheme="minorEastAsia" w:eastAsiaTheme="minorEastAsia" w:hAnsiTheme="minorEastAsia"/>
                <w:color w:val="000000" w:themeColor="text1"/>
                <w:position w:val="-10"/>
                <w:sz w:val="28"/>
                <w:szCs w:val="28"/>
              </w:rPr>
              <w:object w:dxaOrig="306" w:dyaOrig="301">
                <v:shape id="_x0000_i1106" type="#_x0000_t75" style="width:18pt;height:15pt" o:ole="">
                  <v:imagedata r:id="rId170" o:title=""/>
                </v:shape>
                <o:OLEObject Type="Embed" ProgID="Equation.AxMath" ShapeID="_x0000_i1106" DrawAspect="Content" ObjectID="_1606634901" r:id="rId171"/>
              </w:object>
            </w:r>
            <w:r>
              <w:rPr>
                <w:rFonts w:asciiTheme="minorEastAsia" w:eastAsiaTheme="minorEastAsia" w:hAnsiTheme="minorEastAsia" w:hint="eastAsia"/>
                <w:sz w:val="28"/>
                <w:szCs w:val="28"/>
              </w:rPr>
              <w:t>）</w:t>
            </w:r>
          </w:p>
        </w:tc>
        <w:tc>
          <w:tcPr>
            <w:tcW w:w="708" w:type="dxa"/>
            <w:vMerge w:val="restart"/>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预制外墙采用</w:t>
            </w:r>
          </w:p>
        </w:tc>
        <w:tc>
          <w:tcPr>
            <w:tcW w:w="2585" w:type="dxa"/>
            <w:gridSpan w:val="2"/>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外墙与保温、装饰一体化</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color w:val="C00000"/>
                <w:sz w:val="28"/>
                <w:szCs w:val="28"/>
              </w:rPr>
              <w:t>*</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color w:val="000000" w:themeColor="text1"/>
                <w:sz w:val="28"/>
                <w:szCs w:val="28"/>
              </w:rPr>
            </w:pPr>
          </w:p>
        </w:tc>
      </w:tr>
      <w:tr w:rsidR="00512332">
        <w:trPr>
          <w:trHeight w:val="397"/>
        </w:trPr>
        <w:tc>
          <w:tcPr>
            <w:tcW w:w="816" w:type="dxa"/>
            <w:vMerge/>
            <w:vAlign w:val="center"/>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p>
        </w:tc>
        <w:tc>
          <w:tcPr>
            <w:tcW w:w="708"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2585" w:type="dxa"/>
            <w:gridSpan w:val="2"/>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外墙与装饰一体化</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color w:val="C00000"/>
                <w:sz w:val="28"/>
                <w:szCs w:val="28"/>
              </w:rPr>
              <w:t>*</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rPr>
          <w:trHeight w:val="397"/>
        </w:trPr>
        <w:tc>
          <w:tcPr>
            <w:tcW w:w="816" w:type="dxa"/>
            <w:vMerge/>
            <w:vAlign w:val="center"/>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p>
        </w:tc>
        <w:tc>
          <w:tcPr>
            <w:tcW w:w="708"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color w:val="000000" w:themeColor="text1"/>
                <w:sz w:val="28"/>
                <w:szCs w:val="28"/>
              </w:rPr>
            </w:pPr>
          </w:p>
        </w:tc>
        <w:tc>
          <w:tcPr>
            <w:tcW w:w="2585" w:type="dxa"/>
            <w:gridSpan w:val="2"/>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外墙与保温一体化</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color w:val="C00000"/>
                <w:sz w:val="28"/>
                <w:szCs w:val="28"/>
              </w:rPr>
              <w:t>*</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rPr>
          <w:trHeight w:val="397"/>
        </w:trPr>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p>
        </w:tc>
        <w:tc>
          <w:tcPr>
            <w:tcW w:w="3293" w:type="dxa"/>
            <w:gridSpan w:val="3"/>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color w:val="000000" w:themeColor="text1"/>
                <w:sz w:val="28"/>
                <w:szCs w:val="28"/>
              </w:rPr>
              <w:t>非挤土预制桩</w:t>
            </w:r>
          </w:p>
        </w:tc>
        <w:tc>
          <w:tcPr>
            <w:tcW w:w="2518" w:type="dxa"/>
            <w:vAlign w:val="center"/>
          </w:tcPr>
          <w:p w:rsidR="00512332" w:rsidRDefault="00E80EF5">
            <w:pPr>
              <w:adjustRightInd w:val="0"/>
              <w:snapToGrid w:val="0"/>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20m</w:t>
            </w:r>
            <w:r>
              <w:rPr>
                <w:rFonts w:asciiTheme="minorEastAsia" w:eastAsiaTheme="minorEastAsia" w:hAnsiTheme="minorEastAsia" w:hint="eastAsia"/>
                <w:sz w:val="28"/>
                <w:szCs w:val="28"/>
              </w:rPr>
              <w:t>≤平均桩长≤</w:t>
            </w:r>
            <w:r>
              <w:rPr>
                <w:rFonts w:asciiTheme="minorEastAsia" w:eastAsiaTheme="minorEastAsia" w:hAnsiTheme="minorEastAsia" w:hint="eastAsia"/>
                <w:sz w:val="28"/>
                <w:szCs w:val="28"/>
              </w:rPr>
              <w:t>40m</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color w:val="C00000"/>
                <w:sz w:val="28"/>
                <w:szCs w:val="28"/>
              </w:rPr>
              <w:t>*</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rPr>
          <w:trHeight w:val="397"/>
        </w:trPr>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p>
        </w:tc>
        <w:tc>
          <w:tcPr>
            <w:tcW w:w="3293" w:type="dxa"/>
            <w:gridSpan w:val="3"/>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BIM</w:t>
            </w:r>
            <w:r>
              <w:rPr>
                <w:rFonts w:asciiTheme="minorEastAsia" w:eastAsiaTheme="minorEastAsia" w:hAnsiTheme="minorEastAsia" w:hint="eastAsia"/>
                <w:sz w:val="28"/>
                <w:szCs w:val="28"/>
              </w:rPr>
              <w:t>技术</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rPr>
          <w:trHeight w:val="397"/>
        </w:trPr>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vAlign w:val="center"/>
          </w:tcPr>
          <w:p w:rsidR="00512332" w:rsidRDefault="00512332">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p>
        </w:tc>
        <w:tc>
          <w:tcPr>
            <w:tcW w:w="3293" w:type="dxa"/>
            <w:gridSpan w:val="3"/>
            <w:vAlign w:val="center"/>
          </w:tcPr>
          <w:p w:rsidR="00512332" w:rsidRDefault="00E80EF5">
            <w:pPr>
              <w:pStyle w:val="af2"/>
              <w:adjustRightInd w:val="0"/>
              <w:snapToGrid w:val="0"/>
              <w:spacing w:before="0" w:beforeAutospacing="0" w:after="0" w:afterAutospacing="0" w:line="320" w:lineRule="exact"/>
              <w:jc w:val="center"/>
              <w:rPr>
                <w:sz w:val="28"/>
                <w:szCs w:val="28"/>
              </w:rPr>
            </w:pPr>
            <w:r>
              <w:rPr>
                <w:rFonts w:hint="eastAsia"/>
                <w:sz w:val="28"/>
                <w:szCs w:val="28"/>
              </w:rPr>
              <w:t>减隔震技术</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val="restart"/>
            <w:vAlign w:val="center"/>
          </w:tcPr>
          <w:p w:rsidR="00512332" w:rsidRDefault="00E80EF5">
            <w:pPr>
              <w:pStyle w:val="af2"/>
              <w:adjustRightInd w:val="0"/>
              <w:snapToGrid w:val="0"/>
              <w:spacing w:before="0" w:beforeAutospacing="0" w:after="0" w:afterAutospacing="0" w:line="320" w:lineRule="exact"/>
              <w:jc w:val="center"/>
              <w:rPr>
                <w:rStyle w:val="af4"/>
                <w:rFonts w:asciiTheme="minorEastAsia" w:eastAsiaTheme="minorEastAsia" w:hAnsiTheme="minorEastAsia"/>
                <w:b w:val="0"/>
                <w:bCs w:val="0"/>
                <w:sz w:val="28"/>
                <w:szCs w:val="28"/>
              </w:rPr>
            </w:pPr>
            <w:r>
              <w:rPr>
                <w:rFonts w:asciiTheme="minorEastAsia" w:eastAsiaTheme="minorEastAsia" w:hAnsiTheme="minorEastAsia" w:hint="eastAsia"/>
                <w:sz w:val="28"/>
                <w:szCs w:val="28"/>
              </w:rPr>
              <w:t>构件标准化（</w:t>
            </w:r>
            <w:r w:rsidR="00512332" w:rsidRPr="00512332">
              <w:rPr>
                <w:rFonts w:asciiTheme="minorEastAsia" w:eastAsiaTheme="minorEastAsia" w:hAnsiTheme="minorEastAsia"/>
                <w:position w:val="-10"/>
                <w:sz w:val="28"/>
                <w:szCs w:val="28"/>
              </w:rPr>
              <w:object w:dxaOrig="300" w:dyaOrig="301">
                <v:shape id="_x0000_i1107" type="#_x0000_t75" style="width:15pt;height:15pt" o:ole="">
                  <v:imagedata r:id="rId172" o:title=""/>
                </v:shape>
                <o:OLEObject Type="Embed" ProgID="Equation.AxMath" ShapeID="_x0000_i1107" DrawAspect="Content" ObjectID="_1606634902" r:id="rId173"/>
              </w:object>
            </w:r>
            <w:r>
              <w:rPr>
                <w:rFonts w:asciiTheme="minorEastAsia" w:eastAsiaTheme="minorEastAsia" w:hAnsiTheme="minorEastAsia" w:hint="eastAsia"/>
                <w:sz w:val="28"/>
                <w:szCs w:val="28"/>
              </w:rPr>
              <w:t>）</w:t>
            </w:r>
          </w:p>
        </w:tc>
        <w:tc>
          <w:tcPr>
            <w:tcW w:w="1417" w:type="dxa"/>
            <w:gridSpan w:val="2"/>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预制（叠合）楼板</w:t>
            </w:r>
          </w:p>
        </w:tc>
        <w:tc>
          <w:tcPr>
            <w:tcW w:w="1876" w:type="dxa"/>
            <w:vAlign w:val="center"/>
          </w:tcPr>
          <w:p w:rsidR="00512332" w:rsidRDefault="00E80EF5">
            <w:pPr>
              <w:pStyle w:val="af2"/>
              <w:adjustRightInd w:val="0"/>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应用比例≥</w:t>
            </w:r>
            <w:r>
              <w:rPr>
                <w:rFonts w:asciiTheme="minorEastAsia" w:eastAsiaTheme="minorEastAsia" w:hAnsiTheme="minorEastAsia" w:hint="eastAsia"/>
                <w:sz w:val="28"/>
                <w:szCs w:val="28"/>
              </w:rPr>
              <w:t>70%</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≤应用最多的</w:t>
            </w:r>
            <w:r>
              <w:rPr>
                <w:rFonts w:asciiTheme="minorEastAsia" w:eastAsiaTheme="minorEastAsia" w:hAnsiTheme="minorEastAsia"/>
                <w:sz w:val="28"/>
                <w:szCs w:val="28"/>
              </w:rPr>
              <w:t>5</w:t>
            </w:r>
            <w:r>
              <w:rPr>
                <w:rFonts w:asciiTheme="minorEastAsia" w:eastAsiaTheme="minorEastAsia" w:hAnsiTheme="minorEastAsia" w:hint="eastAsia"/>
                <w:sz w:val="28"/>
                <w:szCs w:val="28"/>
              </w:rPr>
              <w:t>种</w:t>
            </w:r>
            <w:r>
              <w:rPr>
                <w:rFonts w:asciiTheme="minorEastAsia" w:eastAsiaTheme="minorEastAsia" w:hAnsiTheme="minorEastAsia"/>
                <w:sz w:val="28"/>
                <w:szCs w:val="28"/>
              </w:rPr>
              <w:t>规格楼板的</w:t>
            </w:r>
            <w:r>
              <w:rPr>
                <w:rFonts w:asciiTheme="minorEastAsia" w:eastAsiaTheme="minorEastAsia" w:hAnsiTheme="minorEastAsia" w:hint="eastAsia"/>
                <w:sz w:val="28"/>
                <w:szCs w:val="28"/>
              </w:rPr>
              <w:t>标准化</w:t>
            </w:r>
            <w:r>
              <w:rPr>
                <w:rFonts w:asciiTheme="minorEastAsia" w:eastAsiaTheme="minorEastAsia" w:hAnsiTheme="minorEastAsia"/>
                <w:sz w:val="28"/>
                <w:szCs w:val="28"/>
              </w:rPr>
              <w:t>程度</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70%</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tcPr>
          <w:p w:rsidR="00512332" w:rsidRDefault="00512332">
            <w:pPr>
              <w:pStyle w:val="af2"/>
              <w:adjustRightInd w:val="0"/>
              <w:snapToGrid w:val="0"/>
              <w:spacing w:before="0" w:beforeAutospacing="0" w:after="0" w:afterAutospacing="0" w:line="320" w:lineRule="exact"/>
              <w:rPr>
                <w:rStyle w:val="af4"/>
                <w:rFonts w:asciiTheme="minorEastAsia" w:eastAsiaTheme="minorEastAsia" w:hAnsiTheme="minorEastAsia" w:cs="Times New Roman"/>
                <w:b w:val="0"/>
                <w:sz w:val="28"/>
                <w:szCs w:val="28"/>
              </w:rPr>
            </w:pPr>
          </w:p>
        </w:tc>
        <w:tc>
          <w:tcPr>
            <w:tcW w:w="1417" w:type="dxa"/>
            <w:gridSpan w:val="2"/>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预制外墙</w:t>
            </w:r>
          </w:p>
        </w:tc>
        <w:tc>
          <w:tcPr>
            <w:tcW w:w="1876" w:type="dxa"/>
            <w:vAlign w:val="center"/>
          </w:tcPr>
          <w:p w:rsidR="00512332" w:rsidRDefault="00E80EF5">
            <w:pPr>
              <w:pStyle w:val="af2"/>
              <w:adjustRightInd w:val="0"/>
              <w:snapToGrid w:val="0"/>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应用比例≥</w:t>
            </w:r>
            <w:r>
              <w:rPr>
                <w:rFonts w:asciiTheme="minorEastAsia" w:eastAsiaTheme="minorEastAsia" w:hAnsiTheme="minorEastAsia" w:hint="eastAsia"/>
                <w:sz w:val="28"/>
                <w:szCs w:val="28"/>
              </w:rPr>
              <w:t>50%</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≤应用最多的</w:t>
            </w:r>
            <w:r>
              <w:rPr>
                <w:rFonts w:asciiTheme="minorEastAsia" w:eastAsiaTheme="minorEastAsia" w:hAnsiTheme="minorEastAsia"/>
                <w:sz w:val="28"/>
                <w:szCs w:val="28"/>
              </w:rPr>
              <w:t>5</w:t>
            </w:r>
            <w:r>
              <w:rPr>
                <w:rFonts w:asciiTheme="minorEastAsia" w:eastAsiaTheme="minorEastAsia" w:hAnsiTheme="minorEastAsia" w:hint="eastAsia"/>
                <w:sz w:val="28"/>
                <w:szCs w:val="28"/>
              </w:rPr>
              <w:t>种</w:t>
            </w:r>
            <w:r>
              <w:rPr>
                <w:rFonts w:asciiTheme="minorEastAsia" w:eastAsiaTheme="minorEastAsia" w:hAnsiTheme="minorEastAsia"/>
                <w:sz w:val="28"/>
                <w:szCs w:val="28"/>
              </w:rPr>
              <w:t>规格楼板的</w:t>
            </w:r>
            <w:r>
              <w:rPr>
                <w:rFonts w:asciiTheme="minorEastAsia" w:eastAsiaTheme="minorEastAsia" w:hAnsiTheme="minorEastAsia" w:hint="eastAsia"/>
                <w:sz w:val="28"/>
                <w:szCs w:val="28"/>
              </w:rPr>
              <w:t>标准化</w:t>
            </w:r>
            <w:r>
              <w:rPr>
                <w:rFonts w:asciiTheme="minorEastAsia" w:eastAsiaTheme="minorEastAsia" w:hAnsiTheme="minorEastAsia"/>
                <w:sz w:val="28"/>
                <w:szCs w:val="28"/>
              </w:rPr>
              <w:t>程度</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70%</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1417" w:type="dxa"/>
            <w:gridSpan w:val="2"/>
            <w:vAlign w:val="center"/>
          </w:tcPr>
          <w:p w:rsidR="00512332" w:rsidRDefault="00E80EF5">
            <w:pPr>
              <w:pStyle w:val="af2"/>
              <w:adjustRightInd w:val="0"/>
              <w:snapToGrid w:val="0"/>
              <w:spacing w:before="0" w:beforeAutospacing="0" w:after="0" w:afterAutospacing="0" w:line="32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预制楼梯</w:t>
            </w:r>
          </w:p>
        </w:tc>
        <w:tc>
          <w:tcPr>
            <w:tcW w:w="1876" w:type="dxa"/>
            <w:vAlign w:val="center"/>
          </w:tcPr>
          <w:p w:rsidR="00512332" w:rsidRDefault="00E80EF5">
            <w:pPr>
              <w:pStyle w:val="af2"/>
              <w:adjustRightInd w:val="0"/>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应用比例≥</w:t>
            </w:r>
            <w:r>
              <w:rPr>
                <w:rFonts w:asciiTheme="minorEastAsia" w:eastAsiaTheme="minorEastAsia" w:hAnsiTheme="minorEastAsia" w:hint="eastAsia"/>
                <w:sz w:val="28"/>
                <w:szCs w:val="28"/>
              </w:rPr>
              <w:t>70%</w:t>
            </w:r>
          </w:p>
        </w:tc>
        <w:tc>
          <w:tcPr>
            <w:tcW w:w="2518" w:type="dxa"/>
            <w:vAlign w:val="center"/>
          </w:tcPr>
          <w:p w:rsidR="00512332" w:rsidRDefault="00E80EF5">
            <w:pPr>
              <w:pStyle w:val="af2"/>
              <w:adjustRightInd w:val="0"/>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≤应用最多的</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种</w:t>
            </w:r>
            <w:r>
              <w:rPr>
                <w:rFonts w:asciiTheme="minorEastAsia" w:eastAsiaTheme="minorEastAsia" w:hAnsiTheme="minorEastAsia"/>
                <w:sz w:val="28"/>
                <w:szCs w:val="28"/>
              </w:rPr>
              <w:t>规格楼板的</w:t>
            </w:r>
            <w:r>
              <w:rPr>
                <w:rFonts w:asciiTheme="minorEastAsia" w:eastAsiaTheme="minorEastAsia" w:hAnsiTheme="minorEastAsia" w:hint="eastAsia"/>
                <w:sz w:val="28"/>
                <w:szCs w:val="28"/>
              </w:rPr>
              <w:t>标准化</w:t>
            </w:r>
            <w:r>
              <w:rPr>
                <w:rFonts w:asciiTheme="minorEastAsia" w:eastAsiaTheme="minorEastAsia" w:hAnsiTheme="minorEastAsia"/>
                <w:sz w:val="28"/>
                <w:szCs w:val="28"/>
              </w:rPr>
              <w:t>程度</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70%</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r w:rsidR="00512332">
        <w:tc>
          <w:tcPr>
            <w:tcW w:w="816"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852" w:type="dxa"/>
            <w:vMerge/>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c>
          <w:tcPr>
            <w:tcW w:w="1417" w:type="dxa"/>
            <w:gridSpan w:val="2"/>
            <w:vAlign w:val="center"/>
          </w:tcPr>
          <w:p w:rsidR="00512332" w:rsidRDefault="00E80EF5">
            <w:pPr>
              <w:pStyle w:val="af2"/>
              <w:adjustRightInd w:val="0"/>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整体预制阳台</w:t>
            </w:r>
          </w:p>
        </w:tc>
        <w:tc>
          <w:tcPr>
            <w:tcW w:w="1876" w:type="dxa"/>
            <w:vAlign w:val="center"/>
          </w:tcPr>
          <w:p w:rsidR="00512332" w:rsidRDefault="00E80EF5">
            <w:pPr>
              <w:pStyle w:val="af2"/>
              <w:adjustRightInd w:val="0"/>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应用比例≥</w:t>
            </w:r>
            <w:r>
              <w:rPr>
                <w:rFonts w:asciiTheme="minorEastAsia" w:eastAsiaTheme="minorEastAsia" w:hAnsiTheme="minorEastAsia" w:hint="eastAsia"/>
                <w:sz w:val="28"/>
                <w:szCs w:val="28"/>
              </w:rPr>
              <w:t>70%</w:t>
            </w:r>
          </w:p>
        </w:tc>
        <w:tc>
          <w:tcPr>
            <w:tcW w:w="2518"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≤应用最多的</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种</w:t>
            </w:r>
            <w:r>
              <w:rPr>
                <w:rFonts w:asciiTheme="minorEastAsia" w:eastAsiaTheme="minorEastAsia" w:hAnsiTheme="minorEastAsia"/>
                <w:sz w:val="28"/>
                <w:szCs w:val="28"/>
              </w:rPr>
              <w:t>规格楼板的</w:t>
            </w:r>
            <w:r>
              <w:rPr>
                <w:rFonts w:asciiTheme="minorEastAsia" w:eastAsiaTheme="minorEastAsia" w:hAnsiTheme="minorEastAsia" w:hint="eastAsia"/>
                <w:sz w:val="28"/>
                <w:szCs w:val="28"/>
              </w:rPr>
              <w:t>标准化</w:t>
            </w:r>
            <w:r>
              <w:rPr>
                <w:rFonts w:asciiTheme="minorEastAsia" w:eastAsiaTheme="minorEastAsia" w:hAnsiTheme="minorEastAsia"/>
                <w:sz w:val="28"/>
                <w:szCs w:val="28"/>
              </w:rPr>
              <w:t>程度</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70%</w:t>
            </w:r>
          </w:p>
        </w:tc>
        <w:tc>
          <w:tcPr>
            <w:tcW w:w="1185" w:type="dxa"/>
            <w:vAlign w:val="center"/>
          </w:tcPr>
          <w:p w:rsidR="00512332" w:rsidRDefault="00E80EF5">
            <w:pPr>
              <w:pStyle w:val="af2"/>
              <w:adjustRightInd w:val="0"/>
              <w:snapToGrid w:val="0"/>
              <w:spacing w:before="0" w:beforeAutospacing="0" w:after="0" w:afterAutospacing="0" w:line="32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p>
        </w:tc>
        <w:tc>
          <w:tcPr>
            <w:tcW w:w="1078" w:type="dxa"/>
          </w:tcPr>
          <w:p w:rsidR="00512332" w:rsidRDefault="00512332">
            <w:pPr>
              <w:pStyle w:val="af2"/>
              <w:adjustRightInd w:val="0"/>
              <w:snapToGrid w:val="0"/>
              <w:spacing w:before="0" w:beforeAutospacing="0" w:after="0" w:afterAutospacing="0" w:line="320" w:lineRule="exact"/>
              <w:jc w:val="center"/>
              <w:rPr>
                <w:rStyle w:val="af4"/>
                <w:rFonts w:asciiTheme="minorEastAsia" w:eastAsiaTheme="minorEastAsia" w:hAnsiTheme="minorEastAsia" w:cs="Times New Roman"/>
                <w:b w:val="0"/>
                <w:sz w:val="28"/>
                <w:szCs w:val="28"/>
              </w:rPr>
            </w:pPr>
          </w:p>
        </w:tc>
      </w:tr>
    </w:tbl>
    <w:p w:rsidR="00512332" w:rsidRDefault="00E80EF5">
      <w:pPr>
        <w:pStyle w:val="af2"/>
        <w:shd w:val="clear" w:color="auto" w:fill="FFFFFF"/>
        <w:adjustRightInd w:val="0"/>
        <w:snapToGrid w:val="0"/>
        <w:spacing w:before="0" w:beforeAutospacing="0" w:after="0" w:afterAutospacing="0"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注：</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表中带“</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”项的分值采用“内插法”计算，计算结果取小数点后</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位。</w:t>
      </w:r>
    </w:p>
    <w:p w:rsidR="00512332" w:rsidRDefault="00E80EF5">
      <w:pPr>
        <w:pStyle w:val="4"/>
        <w:spacing w:before="120"/>
      </w:pPr>
      <w:r>
        <w:rPr>
          <w:rFonts w:hint="eastAsia"/>
        </w:rPr>
        <w:t xml:space="preserve">4.2.2  </w:t>
      </w:r>
      <w:r>
        <w:rPr>
          <w:rFonts w:hint="eastAsia"/>
          <w:b/>
        </w:rPr>
        <w:t>基本预制率应按下式计算：</w:t>
      </w:r>
    </w:p>
    <w:p w:rsidR="00512332" w:rsidRDefault="00512332">
      <w:pPr>
        <w:adjustRightInd w:val="0"/>
        <w:snapToGrid w:val="0"/>
        <w:spacing w:line="240" w:lineRule="auto"/>
        <w:jc w:val="right"/>
        <w:rPr>
          <w:color w:val="000000" w:themeColor="text1"/>
        </w:rPr>
      </w:pPr>
      <w:r w:rsidRPr="00512332">
        <w:rPr>
          <w:rFonts w:asciiTheme="minorEastAsia" w:eastAsiaTheme="minorEastAsia" w:hAnsiTheme="minorEastAsia"/>
          <w:color w:val="000000" w:themeColor="text1"/>
          <w:position w:val="-22"/>
        </w:rPr>
        <w:object w:dxaOrig="2355" w:dyaOrig="554">
          <v:shape id="_x0000_i1108" type="#_x0000_t75" style="width:114.75pt;height:27pt" o:ole="">
            <v:imagedata r:id="rId174" o:title=""/>
          </v:shape>
          <o:OLEObject Type="Embed" ProgID="Equation.AxMath" ShapeID="_x0000_i1108" DrawAspect="Content" ObjectID="_1606634903" r:id="rId175"/>
        </w:object>
      </w:r>
      <w:r w:rsidR="00E80EF5">
        <w:rPr>
          <w:rFonts w:asciiTheme="minorEastAsia" w:eastAsiaTheme="minorEastAsia" w:hAnsiTheme="minorEastAsia" w:hint="eastAsia"/>
          <w:color w:val="000000" w:themeColor="text1"/>
        </w:rPr>
        <w:t xml:space="preserve">                           </w:t>
      </w:r>
      <w:r w:rsidR="00E80EF5">
        <w:rPr>
          <w:rFonts w:eastAsiaTheme="minorEastAsia" w:hAnsiTheme="minorEastAsia"/>
          <w:color w:val="000000" w:themeColor="text1"/>
        </w:rPr>
        <w:t>（</w:t>
      </w:r>
      <w:r w:rsidR="00E80EF5">
        <w:rPr>
          <w:rFonts w:eastAsiaTheme="minorEastAsia"/>
          <w:color w:val="000000" w:themeColor="text1"/>
        </w:rPr>
        <w:t>4.2.2</w:t>
      </w:r>
      <w:r w:rsidR="00E80EF5">
        <w:rPr>
          <w:rFonts w:eastAsiaTheme="minorEastAsia" w:hAnsiTheme="minorEastAsia"/>
          <w:color w:val="000000" w:themeColor="text1"/>
        </w:rPr>
        <w:t>）</w:t>
      </w:r>
    </w:p>
    <w:tbl>
      <w:tblPr>
        <w:tblStyle w:val="afa"/>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489"/>
        <w:gridCol w:w="816"/>
        <w:gridCol w:w="7053"/>
      </w:tblGrid>
      <w:tr w:rsidR="00512332">
        <w:trPr>
          <w:trHeight w:val="340"/>
        </w:trPr>
        <w:tc>
          <w:tcPr>
            <w:tcW w:w="1101" w:type="dxa"/>
          </w:tcPr>
          <w:p w:rsidR="00512332" w:rsidRDefault="00E80EF5">
            <w:pPr>
              <w:rPr>
                <w:rFonts w:asciiTheme="minorEastAsia" w:eastAsiaTheme="minorEastAsia" w:hAnsiTheme="minorEastAsia"/>
              </w:rPr>
            </w:pPr>
            <w:r>
              <w:rPr>
                <w:rFonts w:asciiTheme="minorEastAsia" w:eastAsiaTheme="minorEastAsia" w:hAnsiTheme="minorEastAsia"/>
              </w:rPr>
              <w:t>式中：</w:t>
            </w:r>
          </w:p>
        </w:tc>
        <w:tc>
          <w:tcPr>
            <w:tcW w:w="489"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38" w:dyaOrig="301">
                <v:shape id="_x0000_i1109" type="#_x0000_t75" style="width:12pt;height:18pt" o:ole="">
                  <v:imagedata r:id="rId176" o:title=""/>
                </v:shape>
                <o:OLEObject Type="Embed" ProgID="Equation.AxMath" ShapeID="_x0000_i1109" DrawAspect="Content" ObjectID="_1606634904" r:id="rId177"/>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53"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装配式混凝土建筑单体±</w:t>
            </w:r>
            <w:r>
              <w:rPr>
                <w:rFonts w:asciiTheme="minorEastAsia" w:eastAsiaTheme="minorEastAsia" w:hAnsiTheme="minorEastAsia" w:hint="eastAsia"/>
                <w:color w:val="000000" w:themeColor="text1"/>
              </w:rPr>
              <w:t>0.000</w:t>
            </w:r>
            <w:r>
              <w:rPr>
                <w:rFonts w:asciiTheme="minorEastAsia" w:eastAsiaTheme="minorEastAsia" w:hAnsiTheme="minorEastAsia" w:hint="eastAsia"/>
                <w:color w:val="000000" w:themeColor="text1"/>
              </w:rPr>
              <w:t>以上主体结构预制构件混凝土用量总体积；</w:t>
            </w:r>
          </w:p>
        </w:tc>
      </w:tr>
      <w:tr w:rsidR="00512332">
        <w:trPr>
          <w:trHeight w:val="340"/>
        </w:trPr>
        <w:tc>
          <w:tcPr>
            <w:tcW w:w="1101" w:type="dxa"/>
          </w:tcPr>
          <w:p w:rsidR="00512332" w:rsidRDefault="00512332">
            <w:pPr>
              <w:rPr>
                <w:rFonts w:asciiTheme="minorEastAsia" w:eastAsiaTheme="minorEastAsia" w:hAnsiTheme="minorEastAsia"/>
                <w:color w:val="000000" w:themeColor="text1"/>
              </w:rPr>
            </w:pPr>
          </w:p>
        </w:tc>
        <w:tc>
          <w:tcPr>
            <w:tcW w:w="489" w:type="dxa"/>
          </w:tcPr>
          <w:p w:rsidR="00512332" w:rsidRDefault="00512332">
            <w:pPr>
              <w:rPr>
                <w:rFonts w:asciiTheme="minorEastAsia" w:eastAsiaTheme="minorEastAsia" w:hAnsiTheme="minorEastAsia"/>
              </w:rPr>
            </w:pPr>
            <w:r w:rsidRPr="00512332">
              <w:rPr>
                <w:rFonts w:asciiTheme="minorEastAsia" w:eastAsiaTheme="minorEastAsia" w:hAnsiTheme="minorEastAsia"/>
                <w:color w:val="000000" w:themeColor="text1"/>
                <w:position w:val="-10"/>
              </w:rPr>
              <w:object w:dxaOrig="247" w:dyaOrig="301">
                <v:shape id="_x0000_i1110" type="#_x0000_t75" style="width:13.5pt;height:18pt" o:ole="">
                  <v:imagedata r:id="rId178" o:title=""/>
                </v:shape>
                <o:OLEObject Type="Embed" ProgID="Equation.AxMath" ShapeID="_x0000_i1110" DrawAspect="Content" ObjectID="_1606634905" r:id="rId179"/>
              </w:object>
            </w:r>
          </w:p>
        </w:tc>
        <w:tc>
          <w:tcPr>
            <w:tcW w:w="816" w:type="dxa"/>
          </w:tcPr>
          <w:p w:rsidR="00512332" w:rsidRDefault="00E80EF5">
            <w:pPr>
              <w:rPr>
                <w:rFonts w:asciiTheme="minorEastAsia" w:eastAsiaTheme="minorEastAsia" w:hAnsiTheme="minorEastAsia"/>
              </w:rPr>
            </w:pPr>
            <w:r>
              <w:rPr>
                <w:rFonts w:asciiTheme="minorEastAsia" w:eastAsiaTheme="minorEastAsia" w:hAnsiTheme="minorEastAsia"/>
              </w:rPr>
              <w:t>——</w:t>
            </w:r>
          </w:p>
        </w:tc>
        <w:tc>
          <w:tcPr>
            <w:tcW w:w="7053" w:type="dxa"/>
            <w:vAlign w:val="bottom"/>
          </w:tcPr>
          <w:p w:rsidR="00512332" w:rsidRDefault="00E80EF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预制混凝土内隔墙混凝土用量总体积；</w:t>
            </w:r>
          </w:p>
        </w:tc>
      </w:tr>
    </w:tbl>
    <w:p w:rsidR="00512332" w:rsidRDefault="00E80EF5">
      <w:pPr>
        <w:pStyle w:val="4"/>
        <w:spacing w:before="120"/>
      </w:pPr>
      <w:r>
        <w:rPr>
          <w:rFonts w:hint="eastAsia"/>
          <w:b/>
        </w:rPr>
        <w:t xml:space="preserve">4.2.3 </w:t>
      </w:r>
      <w:r>
        <w:rPr>
          <w:b/>
        </w:rPr>
        <w:t xml:space="preserve"> </w:t>
      </w:r>
      <w:r>
        <w:rPr>
          <w:rFonts w:hint="eastAsia"/>
          <w:b/>
        </w:rPr>
        <w:t>附加预制率应按下式计算：</w:t>
      </w:r>
    </w:p>
    <w:p w:rsidR="00512332" w:rsidRDefault="00512332" w:rsidP="009D0024">
      <w:pPr>
        <w:adjustRightInd w:val="0"/>
        <w:snapToGrid w:val="0"/>
        <w:spacing w:beforeLines="50" w:line="240" w:lineRule="auto"/>
        <w:jc w:val="right"/>
        <w:rPr>
          <w:rFonts w:eastAsiaTheme="minorEastAsia"/>
          <w:color w:val="000000" w:themeColor="text1"/>
        </w:rPr>
      </w:pPr>
      <w:r w:rsidRPr="00512332">
        <w:rPr>
          <w:rFonts w:asciiTheme="minorEastAsia" w:eastAsiaTheme="minorEastAsia" w:hAnsiTheme="minorEastAsia"/>
          <w:color w:val="000000" w:themeColor="text1"/>
          <w:position w:val="-10"/>
        </w:rPr>
        <w:object w:dxaOrig="1250" w:dyaOrig="302">
          <v:shape id="_x0000_i1111" type="#_x0000_t75" style="width:64.5pt;height:14.25pt" o:ole="">
            <v:imagedata r:id="rId180" o:title=""/>
          </v:shape>
          <o:OLEObject Type="Embed" ProgID="Equation.AxMath" ShapeID="_x0000_i1111" DrawAspect="Content" ObjectID="_1606634906" r:id="rId181"/>
        </w:object>
      </w:r>
      <w:r w:rsidR="00E80EF5">
        <w:rPr>
          <w:rFonts w:asciiTheme="minorEastAsia" w:eastAsiaTheme="minorEastAsia" w:hAnsiTheme="minorEastAsia" w:hint="eastAsia"/>
          <w:color w:val="000000" w:themeColor="text1"/>
        </w:rPr>
        <w:t xml:space="preserve">                                </w:t>
      </w:r>
      <w:r w:rsidR="00E80EF5">
        <w:rPr>
          <w:rFonts w:eastAsiaTheme="minorEastAsia"/>
          <w:color w:val="000000" w:themeColor="text1"/>
        </w:rPr>
        <w:t>（</w:t>
      </w:r>
      <w:r w:rsidR="00E80EF5">
        <w:rPr>
          <w:rFonts w:eastAsiaTheme="minorEastAsia"/>
          <w:color w:val="000000" w:themeColor="text1"/>
        </w:rPr>
        <w:t>4.2.3</w:t>
      </w:r>
      <w:r w:rsidR="00E80EF5">
        <w:rPr>
          <w:rFonts w:eastAsiaTheme="minorEastAsia"/>
          <w:color w:val="000000" w:themeColor="text1"/>
        </w:rPr>
        <w:t>）</w:t>
      </w:r>
    </w:p>
    <w:tbl>
      <w:tblPr>
        <w:tblStyle w:val="afa"/>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0"/>
        <w:gridCol w:w="566"/>
        <w:gridCol w:w="816"/>
        <w:gridCol w:w="6997"/>
      </w:tblGrid>
      <w:tr w:rsidR="00512332">
        <w:trPr>
          <w:trHeight w:val="340"/>
        </w:trPr>
        <w:tc>
          <w:tcPr>
            <w:tcW w:w="1080" w:type="dxa"/>
          </w:tcPr>
          <w:p w:rsidR="00512332" w:rsidRDefault="00E80EF5">
            <w:r>
              <w:t>式中：</w:t>
            </w:r>
          </w:p>
        </w:tc>
        <w:tc>
          <w:tcPr>
            <w:tcW w:w="566" w:type="dxa"/>
          </w:tcPr>
          <w:p w:rsidR="00512332" w:rsidRDefault="00512332">
            <w:r w:rsidRPr="00512332">
              <w:rPr>
                <w:rFonts w:asciiTheme="minorEastAsia"/>
                <w:color w:val="000000" w:themeColor="text1"/>
                <w:position w:val="-10"/>
              </w:rPr>
              <w:object w:dxaOrig="306" w:dyaOrig="301">
                <v:shape id="_x0000_i1112" type="#_x0000_t75" style="width:18pt;height:14.25pt" o:ole="">
                  <v:imagedata r:id="rId170" o:title=""/>
                </v:shape>
                <o:OLEObject Type="Embed" ProgID="Equation.AxMath" ShapeID="_x0000_i1112" DrawAspect="Content" ObjectID="_1606634907" r:id="rId182"/>
              </w:object>
            </w:r>
          </w:p>
        </w:tc>
        <w:tc>
          <w:tcPr>
            <w:tcW w:w="816" w:type="dxa"/>
          </w:tcPr>
          <w:p w:rsidR="00512332" w:rsidRDefault="00E80EF5">
            <w:r>
              <w:t>——</w:t>
            </w:r>
          </w:p>
        </w:tc>
        <w:tc>
          <w:tcPr>
            <w:tcW w:w="6997" w:type="dxa"/>
            <w:vAlign w:val="bottom"/>
          </w:tcPr>
          <w:p w:rsidR="00512332" w:rsidRDefault="00E80EF5">
            <w:pPr>
              <w:rPr>
                <w:rFonts w:asciiTheme="minorEastAsia"/>
                <w:color w:val="000000" w:themeColor="text1"/>
              </w:rPr>
            </w:pPr>
            <w:r>
              <w:rPr>
                <w:rFonts w:asciiTheme="minorEastAsia" w:hint="eastAsia"/>
                <w:color w:val="000000" w:themeColor="text1"/>
              </w:rPr>
              <w:t>依据新技术新工艺的应用情况所确定的附加预制率；</w:t>
            </w:r>
          </w:p>
        </w:tc>
      </w:tr>
      <w:tr w:rsidR="00512332">
        <w:trPr>
          <w:trHeight w:val="340"/>
        </w:trPr>
        <w:tc>
          <w:tcPr>
            <w:tcW w:w="1080" w:type="dxa"/>
          </w:tcPr>
          <w:p w:rsidR="00512332" w:rsidRDefault="00512332">
            <w:pPr>
              <w:rPr>
                <w:rFonts w:asciiTheme="minorEastAsia"/>
                <w:color w:val="000000" w:themeColor="text1"/>
              </w:rPr>
            </w:pPr>
          </w:p>
        </w:tc>
        <w:tc>
          <w:tcPr>
            <w:tcW w:w="566" w:type="dxa"/>
          </w:tcPr>
          <w:p w:rsidR="00512332" w:rsidRDefault="00512332">
            <w:r w:rsidRPr="00512332">
              <w:rPr>
                <w:rFonts w:asciiTheme="minorEastAsia"/>
                <w:color w:val="000000" w:themeColor="text1"/>
                <w:position w:val="-10"/>
              </w:rPr>
              <w:object w:dxaOrig="300" w:dyaOrig="301">
                <v:shape id="_x0000_i1113" type="#_x0000_t75" style="width:15.75pt;height:14.25pt" o:ole="">
                  <v:imagedata r:id="rId172" o:title=""/>
                </v:shape>
                <o:OLEObject Type="Embed" ProgID="Equation.AxMath" ShapeID="_x0000_i1113" DrawAspect="Content" ObjectID="_1606634908" r:id="rId183"/>
              </w:object>
            </w:r>
          </w:p>
        </w:tc>
        <w:tc>
          <w:tcPr>
            <w:tcW w:w="816" w:type="dxa"/>
          </w:tcPr>
          <w:p w:rsidR="00512332" w:rsidRDefault="00E80EF5">
            <w:r>
              <w:t>——</w:t>
            </w:r>
          </w:p>
        </w:tc>
        <w:tc>
          <w:tcPr>
            <w:tcW w:w="6997" w:type="dxa"/>
            <w:vAlign w:val="bottom"/>
          </w:tcPr>
          <w:p w:rsidR="00512332" w:rsidRDefault="00E80EF5">
            <w:pPr>
              <w:rPr>
                <w:rFonts w:asciiTheme="minorEastAsia"/>
                <w:color w:val="000000" w:themeColor="text1"/>
              </w:rPr>
            </w:pPr>
            <w:r>
              <w:rPr>
                <w:rFonts w:asciiTheme="minorEastAsia" w:hint="eastAsia"/>
                <w:color w:val="000000" w:themeColor="text1"/>
              </w:rPr>
              <w:t>依据预制构件标准化程度所确定的附加预制率。</w:t>
            </w:r>
          </w:p>
        </w:tc>
      </w:tr>
    </w:tbl>
    <w:p w:rsidR="00512332" w:rsidRDefault="00E80EF5">
      <w:pPr>
        <w:pStyle w:val="4"/>
        <w:spacing w:before="120"/>
      </w:pPr>
      <w:r>
        <w:rPr>
          <w:b/>
        </w:rPr>
        <w:t>4.2.</w:t>
      </w:r>
      <w:r>
        <w:rPr>
          <w:rFonts w:hint="eastAsia"/>
          <w:b/>
        </w:rPr>
        <w:t>4</w:t>
      </w:r>
      <w:r>
        <w:t xml:space="preserve">  </w:t>
      </w:r>
      <w:r>
        <w:rPr>
          <w:rFonts w:hint="eastAsia"/>
        </w:rPr>
        <w:t>预制外</w:t>
      </w:r>
      <w:r>
        <w:t>墙采用</w:t>
      </w:r>
      <w:r>
        <w:rPr>
          <w:rFonts w:hint="eastAsia"/>
        </w:rPr>
        <w:t>外</w:t>
      </w:r>
      <w:r>
        <w:t>墙、保温、装饰一体化根据应用情况</w:t>
      </w:r>
      <w:r>
        <w:rPr>
          <w:rFonts w:hint="eastAsia"/>
        </w:rPr>
        <w:t>计算占预制外</w:t>
      </w:r>
      <w:r>
        <w:t>墙</w:t>
      </w:r>
      <w:r>
        <w:rPr>
          <w:rFonts w:hint="eastAsia"/>
        </w:rPr>
        <w:t>比例，按表</w:t>
      </w:r>
      <w:r>
        <w:rPr>
          <w:rFonts w:hint="eastAsia"/>
        </w:rPr>
        <w:t>4.2.1</w:t>
      </w:r>
      <w:r>
        <w:rPr>
          <w:rFonts w:hint="eastAsia"/>
        </w:rPr>
        <w:t>规定</w:t>
      </w:r>
      <w:r>
        <w:t>选择</w:t>
      </w:r>
      <w:r>
        <w:rPr>
          <w:rFonts w:hint="eastAsia"/>
        </w:rPr>
        <w:t>其中</w:t>
      </w:r>
      <w:r>
        <w:t>一种方式计算</w:t>
      </w:r>
      <w:r>
        <w:rPr>
          <w:rFonts w:hint="eastAsia"/>
        </w:rPr>
        <w:t>预制率</w:t>
      </w:r>
      <w:r>
        <w:t>。</w:t>
      </w:r>
    </w:p>
    <w:p w:rsidR="00512332" w:rsidRDefault="00E80EF5">
      <w:pPr>
        <w:pStyle w:val="4"/>
        <w:spacing w:before="120"/>
      </w:pPr>
      <w:r>
        <w:rPr>
          <w:rFonts w:hint="eastAsia"/>
          <w:b/>
        </w:rPr>
        <w:t xml:space="preserve">4.2.5 </w:t>
      </w:r>
      <w:r>
        <w:rPr>
          <w:rFonts w:hint="eastAsia"/>
        </w:rPr>
        <w:t xml:space="preserve"> </w:t>
      </w:r>
      <w:r>
        <w:rPr>
          <w:rFonts w:hint="eastAsia"/>
        </w:rPr>
        <w:t>非挤土预制桩的平均桩长根据地质勘查报告、桩位平面位置图、桩基详图，按建筑单体采用非挤土预制桩总长度与总桩数的比值确定。</w:t>
      </w:r>
    </w:p>
    <w:p w:rsidR="00512332" w:rsidRDefault="00E80EF5">
      <w:pPr>
        <w:pStyle w:val="4"/>
        <w:spacing w:before="120"/>
      </w:pPr>
      <w:r>
        <w:rPr>
          <w:rFonts w:hint="eastAsia"/>
          <w:b/>
        </w:rPr>
        <w:t>4.2.6</w:t>
      </w:r>
      <w:r>
        <w:rPr>
          <w:b/>
        </w:rPr>
        <w:t xml:space="preserve"> </w:t>
      </w:r>
      <w:r>
        <w:rPr>
          <w:rFonts w:hint="eastAsia"/>
          <w:b/>
        </w:rPr>
        <w:t xml:space="preserve"> </w:t>
      </w:r>
      <w:r>
        <w:rPr>
          <w:rFonts w:hint="eastAsia"/>
        </w:rPr>
        <w:t>装配式建筑设计应采用</w:t>
      </w:r>
      <w:r>
        <w:rPr>
          <w:rFonts w:hint="eastAsia"/>
        </w:rPr>
        <w:t>BIM</w:t>
      </w:r>
      <w:r>
        <w:rPr>
          <w:rFonts w:hint="eastAsia"/>
        </w:rPr>
        <w:t>技术并提供整体模型，应用构件拆分、构件清单、预制率指标核算时得</w:t>
      </w:r>
      <w:r>
        <w:rPr>
          <w:rFonts w:hint="eastAsia"/>
        </w:rPr>
        <w:t>2</w:t>
      </w:r>
      <w:r>
        <w:rPr>
          <w:rFonts w:hint="eastAsia"/>
        </w:rPr>
        <w:t>分，</w:t>
      </w:r>
      <w:r>
        <w:rPr>
          <w:rFonts w:hint="eastAsia"/>
        </w:rPr>
        <w:t>5</w:t>
      </w:r>
      <w:r>
        <w:rPr>
          <w:rFonts w:hint="eastAsia"/>
        </w:rPr>
        <w:t>个及以上应用点得</w:t>
      </w:r>
      <w:r>
        <w:rPr>
          <w:rFonts w:hint="eastAsia"/>
        </w:rPr>
        <w:t>3</w:t>
      </w:r>
      <w:r>
        <w:rPr>
          <w:rFonts w:hint="eastAsia"/>
        </w:rPr>
        <w:t>分，</w:t>
      </w:r>
      <w:r>
        <w:rPr>
          <w:rFonts w:hint="eastAsia"/>
        </w:rPr>
        <w:t>7</w:t>
      </w:r>
      <w:r>
        <w:rPr>
          <w:rFonts w:hint="eastAsia"/>
        </w:rPr>
        <w:t>个及以上应用点得</w:t>
      </w:r>
      <w:r>
        <w:rPr>
          <w:rFonts w:hint="eastAsia"/>
        </w:rPr>
        <w:t>4</w:t>
      </w:r>
      <w:r>
        <w:rPr>
          <w:rFonts w:hint="eastAsia"/>
        </w:rPr>
        <w:t>分。</w:t>
      </w:r>
    </w:p>
    <w:p w:rsidR="00512332" w:rsidRDefault="00E80EF5">
      <w:pPr>
        <w:pStyle w:val="4"/>
        <w:spacing w:before="120"/>
      </w:pPr>
      <w:r>
        <w:rPr>
          <w:b/>
        </w:rPr>
        <w:t>4.2.</w:t>
      </w:r>
      <w:r>
        <w:rPr>
          <w:rFonts w:hint="eastAsia"/>
          <w:b/>
        </w:rPr>
        <w:t xml:space="preserve">7 </w:t>
      </w:r>
      <w:r>
        <w:rPr>
          <w:rFonts w:hint="eastAsia"/>
        </w:rPr>
        <w:t>减隔震技术以减少建筑地震反应，且满足以下要求时，按表</w:t>
      </w:r>
      <w:r>
        <w:t>4.2.1</w:t>
      </w:r>
      <w:r>
        <w:rPr>
          <w:rFonts w:hint="eastAsia"/>
        </w:rPr>
        <w:t>折算预制率：</w:t>
      </w:r>
    </w:p>
    <w:p w:rsidR="00512332" w:rsidRDefault="00E80EF5">
      <w:r>
        <w:rPr>
          <w:rFonts w:asciiTheme="minorEastAsia" w:hint="eastAsia"/>
        </w:rPr>
        <w:t xml:space="preserve">   </w:t>
      </w:r>
      <w:r>
        <w:t xml:space="preserve"> 1</w:t>
      </w:r>
      <w:r>
        <w:rPr>
          <w:rFonts w:hint="eastAsia"/>
        </w:rPr>
        <w:t>.</w:t>
      </w:r>
      <w:r>
        <w:rPr>
          <w:rFonts w:hint="eastAsia"/>
        </w:rPr>
        <w:t>当采用隔震技术时，应满足国家及地方相关规程规范要求，且隔震结构底部剪力比（设防地震作用下建筑隔震后与隔震前的上部结构底部剪力之比）不应大于</w:t>
      </w:r>
      <w:r>
        <w:rPr>
          <w:rFonts w:hint="eastAsia"/>
        </w:rPr>
        <w:t>0.5</w:t>
      </w:r>
      <w:r>
        <w:rPr>
          <w:rFonts w:hint="eastAsia"/>
        </w:rPr>
        <w:t>。</w:t>
      </w:r>
    </w:p>
    <w:p w:rsidR="00512332" w:rsidRDefault="00E80EF5">
      <w:r>
        <w:t xml:space="preserve">    2</w:t>
      </w:r>
      <w:r>
        <w:rPr>
          <w:rFonts w:hint="eastAsia"/>
        </w:rPr>
        <w:t xml:space="preserve">. </w:t>
      </w:r>
      <w:r>
        <w:t>当采用各类阻尼器、屈曲约束支撑等消能减震技术时，应满足国家及地方相关规程规范要求，同时布置的消能器应具有足</w:t>
      </w:r>
      <w:r>
        <w:t>够的数量，使建筑抗震性能有明显提高。采用减震措施后，罕遇地震作用下减震结构与非减震结构的水平位移之比应小于</w:t>
      </w:r>
      <w:r>
        <w:t>0.75</w:t>
      </w:r>
      <w:r>
        <w:t>；同时，结构在多遇地震作用下的弹性层间位移角和罕遇地震作用下的弹塑性层间位移角应分别不大于表</w:t>
      </w:r>
      <w:r>
        <w:rPr>
          <w:rFonts w:hint="eastAsia"/>
        </w:rPr>
        <w:t>4.2.7</w:t>
      </w:r>
      <w:r>
        <w:t>的要求。</w:t>
      </w:r>
    </w:p>
    <w:p w:rsidR="00512332" w:rsidRDefault="00E80EF5">
      <w:pPr>
        <w:tabs>
          <w:tab w:val="left" w:pos="709"/>
        </w:tabs>
        <w:adjustRightInd w:val="0"/>
        <w:snapToGrid w:val="0"/>
        <w:spacing w:line="320" w:lineRule="exact"/>
        <w:jc w:val="center"/>
        <w:rPr>
          <w:rFonts w:eastAsiaTheme="minorEastAsia"/>
          <w:b/>
          <w:kern w:val="0"/>
          <w:sz w:val="28"/>
          <w:szCs w:val="28"/>
        </w:rPr>
      </w:pPr>
      <w:r>
        <w:rPr>
          <w:rFonts w:eastAsiaTheme="minorEastAsia" w:hAnsiTheme="minorEastAsia"/>
          <w:b/>
          <w:kern w:val="0"/>
          <w:sz w:val="28"/>
          <w:szCs w:val="28"/>
        </w:rPr>
        <w:t>表</w:t>
      </w:r>
      <w:r>
        <w:rPr>
          <w:rFonts w:eastAsiaTheme="minorEastAsia"/>
          <w:b/>
          <w:kern w:val="0"/>
          <w:sz w:val="28"/>
          <w:szCs w:val="28"/>
        </w:rPr>
        <w:t>4.2.</w:t>
      </w:r>
      <w:r>
        <w:rPr>
          <w:rFonts w:eastAsiaTheme="minorEastAsia" w:hint="eastAsia"/>
          <w:b/>
          <w:kern w:val="0"/>
          <w:sz w:val="28"/>
          <w:szCs w:val="28"/>
        </w:rPr>
        <w:t>7</w:t>
      </w:r>
      <w:r>
        <w:rPr>
          <w:rFonts w:eastAsiaTheme="minorEastAsia"/>
          <w:b/>
          <w:kern w:val="0"/>
          <w:sz w:val="28"/>
          <w:szCs w:val="28"/>
        </w:rPr>
        <w:t xml:space="preserve">  </w:t>
      </w:r>
      <w:r>
        <w:rPr>
          <w:rFonts w:eastAsiaTheme="minorEastAsia" w:hAnsiTheme="minorEastAsia"/>
          <w:b/>
          <w:kern w:val="0"/>
          <w:sz w:val="28"/>
          <w:szCs w:val="28"/>
        </w:rPr>
        <w:t>减震结构层间位移角限值</w:t>
      </w:r>
    </w:p>
    <w:tbl>
      <w:tblPr>
        <w:tblStyle w:val="afa"/>
        <w:tblW w:w="9066" w:type="dxa"/>
        <w:tblInd w:w="108" w:type="dxa"/>
        <w:tblLayout w:type="fixed"/>
        <w:tblLook w:val="04A0"/>
      </w:tblPr>
      <w:tblGrid>
        <w:gridCol w:w="3370"/>
        <w:gridCol w:w="2719"/>
        <w:gridCol w:w="2977"/>
      </w:tblGrid>
      <w:tr w:rsidR="00512332">
        <w:trPr>
          <w:trHeight w:val="454"/>
        </w:trPr>
        <w:tc>
          <w:tcPr>
            <w:tcW w:w="3370"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hAnsiTheme="minorEastAsia"/>
                <w:sz w:val="28"/>
                <w:szCs w:val="28"/>
              </w:rPr>
              <w:t>结构类型</w:t>
            </w:r>
          </w:p>
        </w:tc>
        <w:tc>
          <w:tcPr>
            <w:tcW w:w="2719"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hAnsiTheme="minorEastAsia"/>
                <w:sz w:val="28"/>
                <w:szCs w:val="28"/>
              </w:rPr>
              <w:t>多遇地震下弹性层间位移角限值</w:t>
            </w:r>
          </w:p>
        </w:tc>
        <w:tc>
          <w:tcPr>
            <w:tcW w:w="2977"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hAnsiTheme="minorEastAsia"/>
                <w:sz w:val="28"/>
                <w:szCs w:val="28"/>
              </w:rPr>
              <w:t>罕遇地震下弹塑性层间位移角限值</w:t>
            </w:r>
          </w:p>
        </w:tc>
      </w:tr>
      <w:tr w:rsidR="00512332">
        <w:trPr>
          <w:trHeight w:val="454"/>
        </w:trPr>
        <w:tc>
          <w:tcPr>
            <w:tcW w:w="3370"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hAnsiTheme="minorEastAsia"/>
                <w:sz w:val="28"/>
                <w:szCs w:val="28"/>
              </w:rPr>
              <w:t>钢筋混凝土框架结构</w:t>
            </w:r>
          </w:p>
        </w:tc>
        <w:tc>
          <w:tcPr>
            <w:tcW w:w="2719"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sz w:val="28"/>
                <w:szCs w:val="28"/>
              </w:rPr>
              <w:t>1/600</w:t>
            </w:r>
          </w:p>
        </w:tc>
        <w:tc>
          <w:tcPr>
            <w:tcW w:w="2977"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sz w:val="28"/>
                <w:szCs w:val="28"/>
              </w:rPr>
              <w:t>1/100</w:t>
            </w:r>
          </w:p>
        </w:tc>
      </w:tr>
      <w:tr w:rsidR="00512332">
        <w:trPr>
          <w:trHeight w:val="454"/>
        </w:trPr>
        <w:tc>
          <w:tcPr>
            <w:tcW w:w="3370"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hAnsiTheme="minorEastAsia"/>
                <w:sz w:val="28"/>
                <w:szCs w:val="28"/>
              </w:rPr>
              <w:t>钢筋混凝土框剪，框筒，板柱</w:t>
            </w:r>
            <w:r>
              <w:rPr>
                <w:rFonts w:eastAsiaTheme="minorEastAsia"/>
                <w:sz w:val="28"/>
                <w:szCs w:val="28"/>
              </w:rPr>
              <w:t>-</w:t>
            </w:r>
            <w:r>
              <w:rPr>
                <w:rFonts w:eastAsiaTheme="minorEastAsia" w:hAnsiTheme="minorEastAsia"/>
                <w:sz w:val="28"/>
                <w:szCs w:val="28"/>
              </w:rPr>
              <w:t>剪力墙结构</w:t>
            </w:r>
          </w:p>
        </w:tc>
        <w:tc>
          <w:tcPr>
            <w:tcW w:w="2719"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sz w:val="28"/>
                <w:szCs w:val="28"/>
              </w:rPr>
              <w:t>1/900</w:t>
            </w:r>
          </w:p>
        </w:tc>
        <w:tc>
          <w:tcPr>
            <w:tcW w:w="2977"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sz w:val="28"/>
                <w:szCs w:val="28"/>
              </w:rPr>
              <w:t>1/160</w:t>
            </w:r>
          </w:p>
        </w:tc>
      </w:tr>
      <w:tr w:rsidR="00512332">
        <w:trPr>
          <w:trHeight w:val="454"/>
        </w:trPr>
        <w:tc>
          <w:tcPr>
            <w:tcW w:w="3370"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hAnsiTheme="minorEastAsia"/>
                <w:sz w:val="28"/>
                <w:szCs w:val="28"/>
              </w:rPr>
              <w:t>钢筋混凝土剪力墙，筒中筒结构</w:t>
            </w:r>
          </w:p>
        </w:tc>
        <w:tc>
          <w:tcPr>
            <w:tcW w:w="2719"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sz w:val="28"/>
                <w:szCs w:val="28"/>
              </w:rPr>
              <w:t>1/1100</w:t>
            </w:r>
          </w:p>
        </w:tc>
        <w:tc>
          <w:tcPr>
            <w:tcW w:w="2977" w:type="dxa"/>
            <w:vAlign w:val="center"/>
          </w:tcPr>
          <w:p w:rsidR="00512332" w:rsidRDefault="00E80EF5">
            <w:pPr>
              <w:tabs>
                <w:tab w:val="left" w:pos="709"/>
              </w:tabs>
              <w:adjustRightInd w:val="0"/>
              <w:snapToGrid w:val="0"/>
              <w:spacing w:line="320" w:lineRule="exact"/>
              <w:jc w:val="center"/>
              <w:rPr>
                <w:rFonts w:eastAsiaTheme="minorEastAsia"/>
                <w:sz w:val="28"/>
                <w:szCs w:val="28"/>
              </w:rPr>
            </w:pPr>
            <w:r>
              <w:rPr>
                <w:rFonts w:eastAsiaTheme="minorEastAsia"/>
                <w:sz w:val="28"/>
                <w:szCs w:val="28"/>
              </w:rPr>
              <w:t>1/200</w:t>
            </w:r>
          </w:p>
        </w:tc>
      </w:tr>
    </w:tbl>
    <w:p w:rsidR="00512332" w:rsidRDefault="00E80EF5">
      <w:pPr>
        <w:pStyle w:val="4"/>
        <w:spacing w:before="120"/>
      </w:pPr>
      <w:r>
        <w:rPr>
          <w:b/>
        </w:rPr>
        <w:t>4.2.</w:t>
      </w:r>
      <w:r>
        <w:rPr>
          <w:rFonts w:hint="eastAsia"/>
          <w:b/>
        </w:rPr>
        <w:t>8</w:t>
      </w:r>
      <w:r>
        <w:rPr>
          <w:b/>
        </w:rPr>
        <w:t xml:space="preserve"> </w:t>
      </w:r>
      <w:r>
        <w:rPr>
          <w:rFonts w:hint="eastAsia"/>
        </w:rPr>
        <w:t>部件标准化按表</w:t>
      </w:r>
      <w:r>
        <w:rPr>
          <w:rFonts w:hint="eastAsia"/>
        </w:rPr>
        <w:t>4.2.1</w:t>
      </w:r>
      <w:r>
        <w:rPr>
          <w:rFonts w:hint="eastAsia"/>
        </w:rPr>
        <w:t>折算预制率，</w:t>
      </w:r>
      <w:r>
        <w:rPr>
          <w:rFonts w:asciiTheme="minorEastAsia" w:hAnsiTheme="minorEastAsia" w:hint="eastAsia"/>
        </w:rPr>
        <w:t>依据预制构件标准化程度所确定的附加预制率</w:t>
      </w:r>
      <w:r>
        <w:t>可按</w:t>
      </w:r>
      <w:r>
        <w:rPr>
          <w:rFonts w:hint="eastAsia"/>
        </w:rPr>
        <w:t>下</w:t>
      </w:r>
      <w:r>
        <w:t>式计</w:t>
      </w:r>
      <w:r>
        <w:rPr>
          <w:rFonts w:hAnsiTheme="minorEastAsia"/>
        </w:rPr>
        <w:t>算：</w:t>
      </w:r>
    </w:p>
    <w:p w:rsidR="00512332" w:rsidRDefault="00512332">
      <w:pPr>
        <w:pStyle w:val="afffa"/>
        <w:adjustRightInd w:val="0"/>
        <w:snapToGrid w:val="0"/>
        <w:spacing w:line="240" w:lineRule="auto"/>
        <w:ind w:right="85" w:firstLineChars="0" w:firstLine="0"/>
        <w:jc w:val="right"/>
        <w:rPr>
          <w:rFonts w:ascii="Times New Roman" w:eastAsiaTheme="minorEastAsia" w:hAnsi="Times New Roman"/>
          <w:sz w:val="30"/>
          <w:szCs w:val="30"/>
        </w:rPr>
      </w:pPr>
      <w:r w:rsidRPr="00512332">
        <w:rPr>
          <w:rFonts w:eastAsiaTheme="minorEastAsia"/>
          <w:color w:val="FF0000"/>
          <w:position w:val="-22"/>
        </w:rPr>
        <w:object w:dxaOrig="2016" w:dyaOrig="554">
          <v:shape id="_x0000_i1114" type="#_x0000_t75" style="width:93.75pt;height:27pt" o:ole="">
            <v:imagedata r:id="rId184" o:title=""/>
          </v:shape>
          <o:OLEObject Type="Embed" ProgID="Equation.AxMath" ShapeID="_x0000_i1114" DrawAspect="Content" ObjectID="_1606634909" r:id="rId185"/>
        </w:object>
      </w:r>
      <w:r w:rsidR="00E80EF5">
        <w:rPr>
          <w:rFonts w:eastAsiaTheme="minorEastAsia"/>
          <w:color w:val="FF0000"/>
        </w:rPr>
        <w:t xml:space="preserve">    </w:t>
      </w:r>
      <w:r w:rsidR="00E80EF5">
        <w:rPr>
          <w:rFonts w:eastAsiaTheme="minorEastAsia" w:hint="eastAsia"/>
          <w:color w:val="FF0000"/>
        </w:rPr>
        <w:t xml:space="preserve">          </w:t>
      </w:r>
      <w:r w:rsidR="00E80EF5">
        <w:rPr>
          <w:rFonts w:eastAsiaTheme="minorEastAsia"/>
          <w:color w:val="FF0000"/>
        </w:rPr>
        <w:t xml:space="preserve">               </w:t>
      </w:r>
      <w:r w:rsidR="00E80EF5">
        <w:rPr>
          <w:rFonts w:ascii="Times New Roman" w:eastAsiaTheme="minorEastAsia" w:hAnsi="Times New Roman"/>
          <w:sz w:val="30"/>
          <w:szCs w:val="30"/>
        </w:rPr>
        <w:t xml:space="preserve"> (4.2.8)</w:t>
      </w:r>
    </w:p>
    <w:tbl>
      <w:tblPr>
        <w:tblStyle w:val="afa"/>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576"/>
        <w:gridCol w:w="816"/>
        <w:gridCol w:w="6966"/>
      </w:tblGrid>
      <w:tr w:rsidR="00512332">
        <w:trPr>
          <w:trHeight w:val="340"/>
        </w:trPr>
        <w:tc>
          <w:tcPr>
            <w:tcW w:w="1101" w:type="dxa"/>
          </w:tcPr>
          <w:p w:rsidR="00512332" w:rsidRDefault="00E80EF5">
            <w:r>
              <w:t>式中：</w:t>
            </w:r>
          </w:p>
        </w:tc>
        <w:tc>
          <w:tcPr>
            <w:tcW w:w="576" w:type="dxa"/>
          </w:tcPr>
          <w:p w:rsidR="00512332" w:rsidRDefault="00512332">
            <w:r w:rsidRPr="00512332">
              <w:rPr>
                <w:position w:val="-10"/>
              </w:rPr>
              <w:object w:dxaOrig="356" w:dyaOrig="301">
                <v:shape id="_x0000_i1115" type="#_x0000_t75" style="width:18pt;height:14.25pt" o:ole="">
                  <v:imagedata r:id="rId186" o:title=""/>
                </v:shape>
                <o:OLEObject Type="Embed" ProgID="Equation.AxMath" ShapeID="_x0000_i1115" DrawAspect="Content" ObjectID="_1606634910" r:id="rId187"/>
              </w:object>
            </w:r>
          </w:p>
        </w:tc>
        <w:tc>
          <w:tcPr>
            <w:tcW w:w="816" w:type="dxa"/>
          </w:tcPr>
          <w:p w:rsidR="00512332" w:rsidRDefault="00E80EF5">
            <w:r>
              <w:t>——</w:t>
            </w:r>
          </w:p>
        </w:tc>
        <w:tc>
          <w:tcPr>
            <w:tcW w:w="6966" w:type="dxa"/>
            <w:vAlign w:val="bottom"/>
          </w:tcPr>
          <w:p w:rsidR="00512332" w:rsidRDefault="00E80EF5">
            <w:r>
              <w:t>按表</w:t>
            </w:r>
            <w:r>
              <w:t>4.2.1</w:t>
            </w:r>
            <w:r>
              <w:t>规定预制（叠合）楼板、预制外墙（不包含预制凸窗）、预制楼梯、预制阳台各项的应用最多的规格的混凝土用量体积；</w:t>
            </w:r>
          </w:p>
        </w:tc>
      </w:tr>
      <w:tr w:rsidR="00512332">
        <w:trPr>
          <w:trHeight w:val="340"/>
        </w:trPr>
        <w:tc>
          <w:tcPr>
            <w:tcW w:w="1101" w:type="dxa"/>
          </w:tcPr>
          <w:p w:rsidR="00512332" w:rsidRDefault="00512332"/>
        </w:tc>
        <w:tc>
          <w:tcPr>
            <w:tcW w:w="576" w:type="dxa"/>
          </w:tcPr>
          <w:p w:rsidR="00512332" w:rsidRDefault="00512332">
            <w:r w:rsidRPr="00512332">
              <w:rPr>
                <w:position w:val="-10"/>
              </w:rPr>
              <w:object w:dxaOrig="297" w:dyaOrig="301">
                <v:shape id="_x0000_i1116" type="#_x0000_t75" style="width:14.25pt;height:15pt" o:ole="">
                  <v:imagedata r:id="rId188" o:title=""/>
                </v:shape>
                <o:OLEObject Type="Embed" ProgID="Equation.AxMath" ShapeID="_x0000_i1116" DrawAspect="Content" ObjectID="_1606634911" r:id="rId189"/>
              </w:object>
            </w:r>
          </w:p>
        </w:tc>
        <w:tc>
          <w:tcPr>
            <w:tcW w:w="816" w:type="dxa"/>
          </w:tcPr>
          <w:p w:rsidR="00512332" w:rsidRDefault="00E80EF5">
            <w:r>
              <w:t>——</w:t>
            </w:r>
          </w:p>
        </w:tc>
        <w:tc>
          <w:tcPr>
            <w:tcW w:w="6966" w:type="dxa"/>
            <w:vAlign w:val="bottom"/>
          </w:tcPr>
          <w:p w:rsidR="00512332" w:rsidRDefault="00E80EF5">
            <w:r>
              <w:t>预制（叠合）楼板、预制外墙（不包含预制凸窗、预</w:t>
            </w:r>
            <w:r>
              <w:lastRenderedPageBreak/>
              <w:t>制阳台）、预制楼梯、预制阳台各项的混凝土用量体积；</w:t>
            </w:r>
          </w:p>
        </w:tc>
      </w:tr>
    </w:tbl>
    <w:p w:rsidR="00512332" w:rsidRDefault="00E80EF5">
      <w:pPr>
        <w:pStyle w:val="3"/>
        <w:spacing w:before="600" w:line="400" w:lineRule="exact"/>
        <w:ind w:firstLine="642"/>
        <w:jc w:val="center"/>
        <w:rPr>
          <w:szCs w:val="28"/>
        </w:rPr>
      </w:pPr>
      <w:bookmarkStart w:id="39" w:name="_Toc532848598"/>
      <w:bookmarkStart w:id="40" w:name="_Toc532848523"/>
      <w:bookmarkStart w:id="41" w:name="_Toc431905674"/>
      <w:r>
        <w:rPr>
          <w:szCs w:val="28"/>
        </w:rPr>
        <w:lastRenderedPageBreak/>
        <w:t>4.3</w:t>
      </w:r>
      <w:r>
        <w:rPr>
          <w:rFonts w:hint="eastAsia"/>
          <w:szCs w:val="28"/>
        </w:rPr>
        <w:t>计算规定</w:t>
      </w:r>
      <w:bookmarkEnd w:id="39"/>
      <w:bookmarkEnd w:id="40"/>
      <w:bookmarkEnd w:id="41"/>
    </w:p>
    <w:p w:rsidR="00512332" w:rsidRDefault="00E80EF5">
      <w:pPr>
        <w:pStyle w:val="4"/>
        <w:spacing w:before="120"/>
      </w:pPr>
      <w:r>
        <w:rPr>
          <w:rFonts w:hint="eastAsia"/>
          <w:b/>
        </w:rPr>
        <w:t>4.3.1</w:t>
      </w:r>
      <w:r>
        <w:rPr>
          <w:b/>
        </w:rPr>
        <w:t xml:space="preserve"> </w:t>
      </w:r>
      <w:r>
        <w:rPr>
          <w:rFonts w:hint="eastAsia"/>
        </w:rPr>
        <w:t>混凝土结构中竖向构件</w:t>
      </w:r>
      <w:r>
        <w:t>采用预制构件并符合下列规定时，其后浇连接段现浇混凝土可计入预制混凝土体积</w:t>
      </w:r>
      <w:r>
        <w:rPr>
          <w:rFonts w:hint="eastAsia"/>
        </w:rPr>
        <w:t>。</w:t>
      </w:r>
      <w:r>
        <w:t xml:space="preserve"> </w:t>
      </w:r>
    </w:p>
    <w:p w:rsidR="00512332" w:rsidRDefault="00E80EF5">
      <w:pPr>
        <w:ind w:firstLineChars="188" w:firstLine="566"/>
        <w:rPr>
          <w:color w:val="FF0000"/>
        </w:rPr>
      </w:pPr>
      <w:r>
        <w:rPr>
          <w:b/>
        </w:rPr>
        <w:t>1</w:t>
      </w:r>
      <w:r>
        <w:t xml:space="preserve"> </w:t>
      </w:r>
      <w:r>
        <w:t>预制剪力墙板之间宽度不大于</w:t>
      </w:r>
      <w:r>
        <w:t>600mm</w:t>
      </w:r>
      <w:r>
        <w:t>的竖向现浇段、预制墙板两端的端柱或边长不大于</w:t>
      </w:r>
      <w:r>
        <w:t>600mm</w:t>
      </w:r>
      <w:r>
        <w:t>的</w:t>
      </w:r>
      <w:r>
        <w:rPr>
          <w:rFonts w:hint="eastAsia"/>
        </w:rPr>
        <w:t>现浇连接段</w:t>
      </w:r>
      <w:r>
        <w:t>和高度不大于</w:t>
      </w:r>
      <w:r>
        <w:t>300mm</w:t>
      </w:r>
      <w:r>
        <w:t>的水平后浇带、圈梁的后浇混凝土体积；</w:t>
      </w:r>
    </w:p>
    <w:p w:rsidR="00512332" w:rsidRDefault="00E80EF5">
      <w:pPr>
        <w:ind w:firstLineChars="188" w:firstLine="566"/>
      </w:pPr>
      <w:r>
        <w:rPr>
          <w:b/>
        </w:rPr>
        <w:t>2</w:t>
      </w:r>
      <w:r>
        <w:t xml:space="preserve"> </w:t>
      </w:r>
      <w:r>
        <w:t>预制框架柱和框架梁之间柱梁节点区的后浇混凝土体积；</w:t>
      </w:r>
    </w:p>
    <w:p w:rsidR="00512332" w:rsidRDefault="00E80EF5">
      <w:pPr>
        <w:ind w:firstLineChars="188" w:firstLine="566"/>
      </w:pPr>
      <w:r>
        <w:rPr>
          <w:b/>
        </w:rPr>
        <w:t>3</w:t>
      </w:r>
      <w:r>
        <w:t xml:space="preserve"> </w:t>
      </w:r>
      <w:r>
        <w:t>预制柱间高度不大于柱截面较小尺寸的连接区后浇混凝土体积。柱截面较小尺寸小于</w:t>
      </w:r>
      <w:r>
        <w:t>800mm</w:t>
      </w:r>
      <w:r>
        <w:t>时，预制柱间后浇混凝土高度可取不大于</w:t>
      </w:r>
      <w:r>
        <w:t>800mm</w:t>
      </w:r>
      <w:r>
        <w:t>。</w:t>
      </w:r>
    </w:p>
    <w:p w:rsidR="00512332" w:rsidRDefault="00E80EF5">
      <w:pPr>
        <w:pStyle w:val="4"/>
        <w:spacing w:before="120"/>
      </w:pPr>
      <w:r>
        <w:rPr>
          <w:rFonts w:hint="eastAsia"/>
          <w:b/>
        </w:rPr>
        <w:t>4.3.2</w:t>
      </w:r>
      <w:r>
        <w:t xml:space="preserve"> </w:t>
      </w:r>
      <w:r>
        <w:t>楼盖结构后浇段现浇混凝土符合下列规定</w:t>
      </w:r>
      <w:r>
        <w:rPr>
          <w:rFonts w:hint="eastAsia"/>
        </w:rPr>
        <w:t>时，</w:t>
      </w:r>
      <w:r>
        <w:t>可计入</w:t>
      </w:r>
      <w:r>
        <w:rPr>
          <w:szCs w:val="21"/>
        </w:rPr>
        <w:t>预制混凝土体积</w:t>
      </w:r>
      <w:r>
        <w:t>：</w:t>
      </w:r>
    </w:p>
    <w:p w:rsidR="00512332" w:rsidRDefault="00E80EF5">
      <w:r>
        <w:rPr>
          <w:rFonts w:hint="eastAsia"/>
          <w:b/>
        </w:rPr>
        <w:t xml:space="preserve">    </w:t>
      </w:r>
      <w:r>
        <w:rPr>
          <w:b/>
        </w:rPr>
        <w:t>1</w:t>
      </w:r>
      <w:r>
        <w:rPr>
          <w:rFonts w:hint="eastAsia"/>
          <w:b/>
        </w:rPr>
        <w:t xml:space="preserve"> </w:t>
      </w:r>
      <w:r>
        <w:t>混凝土结构可采用叠合楼盖、预制楼盖等结构形式；叠合板之间宽度不大于</w:t>
      </w:r>
      <w:r>
        <w:t>400mm</w:t>
      </w:r>
      <w:r>
        <w:t>的后浇带，该部分的投影面积对应的体积（厚度按相邻叠合板计）可计入预制混凝土体积；</w:t>
      </w:r>
    </w:p>
    <w:p w:rsidR="00512332" w:rsidRDefault="00E80EF5">
      <w:r>
        <w:rPr>
          <w:rFonts w:hint="eastAsia"/>
          <w:b/>
        </w:rPr>
        <w:t xml:space="preserve">    </w:t>
      </w:r>
      <w:r>
        <w:rPr>
          <w:b/>
        </w:rPr>
        <w:t>2</w:t>
      </w:r>
      <w:r>
        <w:rPr>
          <w:rFonts w:hint="eastAsia"/>
          <w:b/>
        </w:rPr>
        <w:t xml:space="preserve"> </w:t>
      </w:r>
      <w:r>
        <w:t>采用叠合楼盖、预制楼盖及其他</w:t>
      </w:r>
      <w:r>
        <w:rPr>
          <w:color w:val="000000" w:themeColor="text1"/>
        </w:rPr>
        <w:t>能实现施工现场免支模的形式，</w:t>
      </w:r>
      <w:r>
        <w:t>其现浇层体积的</w:t>
      </w:r>
      <w:r>
        <w:t>50%</w:t>
      </w:r>
      <w:r>
        <w:t>可计入预制混凝土体积。</w:t>
      </w:r>
    </w:p>
    <w:p w:rsidR="00512332" w:rsidRDefault="00E80EF5">
      <w:pPr>
        <w:pStyle w:val="4"/>
        <w:spacing w:before="120"/>
      </w:pPr>
      <w:r>
        <w:rPr>
          <w:rFonts w:hint="eastAsia"/>
          <w:b/>
        </w:rPr>
        <w:t xml:space="preserve">4.3.3 </w:t>
      </w:r>
      <w:r>
        <w:t>采用钢</w:t>
      </w:r>
      <w:r>
        <w:t>-</w:t>
      </w:r>
      <w:r>
        <w:t>混凝土混合结构，当结构主要的抗侧力构件为混凝土或劲性混凝土时，可将钢结构构件按外包尺寸计算所得的体积</w:t>
      </w:r>
      <w:r>
        <w:rPr>
          <w:rFonts w:hint="eastAsia"/>
        </w:rPr>
        <w:t>计入</w:t>
      </w:r>
      <w:r>
        <w:t>预制混凝土</w:t>
      </w:r>
      <w:r>
        <w:rPr>
          <w:rFonts w:hint="eastAsia"/>
        </w:rPr>
        <w:t>体积。</w:t>
      </w:r>
    </w:p>
    <w:p w:rsidR="00512332" w:rsidRDefault="00E80EF5">
      <w:pPr>
        <w:pStyle w:val="4"/>
        <w:spacing w:before="120"/>
      </w:pPr>
      <w:r>
        <w:rPr>
          <w:rFonts w:hint="eastAsia"/>
          <w:b/>
        </w:rPr>
        <w:t>4.3.4</w:t>
      </w:r>
      <w:r>
        <w:t>当构件采用劲性混凝土的梁、柱</w:t>
      </w:r>
      <w:r>
        <w:rPr>
          <w:rFonts w:hint="eastAsia"/>
        </w:rPr>
        <w:t>时，</w:t>
      </w:r>
      <w:r>
        <w:t>可全截面计入预制混凝土</w:t>
      </w:r>
      <w:r>
        <w:rPr>
          <w:rFonts w:hint="eastAsia"/>
        </w:rPr>
        <w:t>体积</w:t>
      </w:r>
      <w:r>
        <w:t>；局部采用全钢</w:t>
      </w:r>
      <w:r>
        <w:rPr>
          <w:rFonts w:hint="eastAsia"/>
        </w:rPr>
        <w:t>楼（</w:t>
      </w:r>
      <w:r>
        <w:t>屋</w:t>
      </w:r>
      <w:r>
        <w:rPr>
          <w:rFonts w:hint="eastAsia"/>
        </w:rPr>
        <w:t>）</w:t>
      </w:r>
      <w:r>
        <w:t>面</w:t>
      </w:r>
      <w:r>
        <w:rPr>
          <w:rFonts w:hint="eastAsia"/>
        </w:rPr>
        <w:t>或</w:t>
      </w:r>
      <w:r>
        <w:rPr>
          <w:rFonts w:asciiTheme="minorEastAsia" w:hAnsiTheme="minorEastAsia" w:hint="eastAsia"/>
          <w:szCs w:val="21"/>
        </w:rPr>
        <w:t>木楼（屋</w:t>
      </w:r>
      <w:r>
        <w:rPr>
          <w:rFonts w:asciiTheme="minorEastAsia" w:hAnsiTheme="minorEastAsia"/>
          <w:szCs w:val="21"/>
        </w:rPr>
        <w:t>）</w:t>
      </w:r>
      <w:r>
        <w:rPr>
          <w:rFonts w:asciiTheme="minorEastAsia" w:hAnsiTheme="minorEastAsia" w:hint="eastAsia"/>
          <w:szCs w:val="21"/>
        </w:rPr>
        <w:t>盖</w:t>
      </w:r>
      <w:r>
        <w:t>时按</w:t>
      </w:r>
      <w:r>
        <w:rPr>
          <w:rFonts w:asciiTheme="minorEastAsia" w:hAnsiTheme="minorEastAsia" w:hint="eastAsia"/>
          <w:szCs w:val="21"/>
        </w:rPr>
        <w:t>水平投影</w:t>
      </w:r>
      <w:r>
        <w:t>面积</w:t>
      </w:r>
      <w:r>
        <w:rPr>
          <w:rFonts w:hint="eastAsia"/>
        </w:rPr>
        <w:t>以</w:t>
      </w:r>
      <w:r>
        <w:t>140mm</w:t>
      </w:r>
      <w:r>
        <w:rPr>
          <w:rFonts w:hint="eastAsia"/>
        </w:rPr>
        <w:t>截面高度</w:t>
      </w:r>
      <w:r>
        <w:t>计入预制混凝土</w:t>
      </w:r>
      <w:r>
        <w:rPr>
          <w:rFonts w:hint="eastAsia"/>
        </w:rPr>
        <w:t>体积</w:t>
      </w:r>
      <w:r>
        <w:t>。</w:t>
      </w:r>
    </w:p>
    <w:p w:rsidR="00512332" w:rsidRDefault="00E80EF5">
      <w:pPr>
        <w:pStyle w:val="4"/>
        <w:spacing w:before="120"/>
        <w:rPr>
          <w:color w:val="FF0000"/>
        </w:rPr>
      </w:pPr>
      <w:r>
        <w:rPr>
          <w:rFonts w:hint="eastAsia"/>
          <w:b/>
        </w:rPr>
        <w:t>4.3.5</w:t>
      </w:r>
      <w:r>
        <w:t>计算</w:t>
      </w:r>
      <w:r>
        <w:rPr>
          <w:rFonts w:asciiTheme="minorEastAsia" w:hAnsiTheme="minorEastAsia" w:hint="eastAsia"/>
          <w:szCs w:val="21"/>
        </w:rPr>
        <w:t>装配</w:t>
      </w:r>
      <w:r>
        <w:rPr>
          <w:rFonts w:asciiTheme="minorEastAsia" w:hAnsiTheme="minorEastAsia" w:hint="eastAsia"/>
          <w:color w:val="000000" w:themeColor="text1"/>
          <w:szCs w:val="21"/>
        </w:rPr>
        <w:t>式楼（屋）面板水平投影面积</w:t>
      </w:r>
      <w:r>
        <w:rPr>
          <w:color w:val="000000" w:themeColor="text1"/>
        </w:rPr>
        <w:t>时，</w:t>
      </w:r>
      <w:r>
        <w:rPr>
          <w:rFonts w:hint="eastAsia"/>
          <w:color w:val="000000" w:themeColor="text1"/>
        </w:rPr>
        <w:t>应符合下列规定</w:t>
      </w:r>
      <w:r>
        <w:rPr>
          <w:color w:val="000000" w:themeColor="text1"/>
        </w:rPr>
        <w:t>：</w:t>
      </w:r>
      <w:r>
        <w:rPr>
          <w:color w:val="FF0000"/>
        </w:rPr>
        <w:t xml:space="preserve"> </w:t>
      </w:r>
    </w:p>
    <w:p w:rsidR="00512332" w:rsidRDefault="00E80EF5">
      <w:pPr>
        <w:ind w:firstLineChars="188" w:firstLine="566"/>
      </w:pPr>
      <w:r>
        <w:rPr>
          <w:b/>
        </w:rPr>
        <w:t>1</w:t>
      </w:r>
      <w:r>
        <w:rPr>
          <w:rFonts w:hint="eastAsia"/>
          <w:b/>
        </w:rPr>
        <w:t xml:space="preserve"> </w:t>
      </w:r>
      <w:r>
        <w:t>主受力方向边长取两端支座中心距离；</w:t>
      </w:r>
    </w:p>
    <w:p w:rsidR="00512332" w:rsidRDefault="00E80EF5">
      <w:pPr>
        <w:ind w:firstLineChars="188" w:firstLine="566"/>
      </w:pPr>
      <w:r>
        <w:rPr>
          <w:b/>
        </w:rPr>
        <w:t>2</w:t>
      </w:r>
      <w:r>
        <w:rPr>
          <w:rFonts w:hint="eastAsia"/>
        </w:rPr>
        <w:t xml:space="preserve"> </w:t>
      </w:r>
      <w:r>
        <w:t>叠合板之间宽度不大于</w:t>
      </w:r>
      <w:r>
        <w:t>400mm</w:t>
      </w:r>
      <w:r>
        <w:t>的后浇带可计入</w:t>
      </w:r>
      <w:r>
        <w:rPr>
          <w:rFonts w:hint="eastAsia"/>
        </w:rPr>
        <w:t>预制构件</w:t>
      </w:r>
      <w:r>
        <w:t>应用面积；</w:t>
      </w:r>
    </w:p>
    <w:p w:rsidR="00512332" w:rsidRDefault="00E80EF5">
      <w:pPr>
        <w:ind w:firstLineChars="188" w:firstLine="566"/>
      </w:pPr>
      <w:r>
        <w:rPr>
          <w:b/>
        </w:rPr>
        <w:t>3</w:t>
      </w:r>
      <w:r>
        <w:rPr>
          <w:rFonts w:hint="eastAsia"/>
          <w:b/>
        </w:rPr>
        <w:t xml:space="preserve"> </w:t>
      </w:r>
      <w:r>
        <w:t>与现浇结构</w:t>
      </w:r>
      <w:r>
        <w:rPr>
          <w:rFonts w:hint="eastAsia"/>
        </w:rPr>
        <w:t>在非支座端</w:t>
      </w:r>
      <w:r>
        <w:t>连接</w:t>
      </w:r>
      <w:r>
        <w:rPr>
          <w:rFonts w:hint="eastAsia"/>
        </w:rPr>
        <w:t>时</w:t>
      </w:r>
      <w:r>
        <w:t>该方向的边长取至与现浇结构的结合面</w:t>
      </w:r>
      <w:r>
        <w:rPr>
          <w:rFonts w:hint="eastAsia"/>
        </w:rPr>
        <w:t>；</w:t>
      </w:r>
    </w:p>
    <w:p w:rsidR="00512332" w:rsidRDefault="00E80EF5">
      <w:pPr>
        <w:ind w:firstLineChars="188" w:firstLine="566"/>
        <w:sectPr w:rsidR="00512332">
          <w:pgSz w:w="11906" w:h="16838"/>
          <w:pgMar w:top="1440" w:right="1474" w:bottom="1440" w:left="1474" w:header="851" w:footer="992" w:gutter="0"/>
          <w:cols w:space="425"/>
          <w:docGrid w:linePitch="312"/>
        </w:sectPr>
      </w:pPr>
      <w:r>
        <w:rPr>
          <w:rFonts w:hint="eastAsia"/>
          <w:b/>
        </w:rPr>
        <w:lastRenderedPageBreak/>
        <w:t xml:space="preserve">4 </w:t>
      </w:r>
      <w:r>
        <w:rPr>
          <w:rFonts w:asciiTheme="minorEastAsia" w:hAnsiTheme="minorEastAsia" w:hint="eastAsia"/>
          <w:szCs w:val="21"/>
        </w:rPr>
        <w:t>金属楼承板（屋面板）组合楼板、</w:t>
      </w:r>
      <w:r>
        <w:rPr>
          <w:rFonts w:hint="eastAsia"/>
        </w:rPr>
        <w:t>桁架钢筋楼承板、</w:t>
      </w:r>
      <w:r>
        <w:rPr>
          <w:rFonts w:asciiTheme="minorEastAsia" w:hAnsiTheme="minorEastAsia" w:hint="eastAsia"/>
          <w:szCs w:val="21"/>
        </w:rPr>
        <w:t>木楼（屋</w:t>
      </w:r>
      <w:r>
        <w:rPr>
          <w:rFonts w:asciiTheme="minorEastAsia" w:hAnsiTheme="minorEastAsia"/>
          <w:szCs w:val="21"/>
        </w:rPr>
        <w:t>）</w:t>
      </w:r>
      <w:r>
        <w:rPr>
          <w:rFonts w:asciiTheme="minorEastAsia" w:hAnsiTheme="minorEastAsia" w:hint="eastAsia"/>
          <w:szCs w:val="21"/>
        </w:rPr>
        <w:t>盖和其他在施工现场免支模的楼（屋）盖水平投影面积</w:t>
      </w:r>
      <w:r>
        <w:t>可计入预制应用面积</w:t>
      </w:r>
      <w:r>
        <w:rPr>
          <w:rFonts w:hint="eastAsia"/>
        </w:rPr>
        <w:t>。</w:t>
      </w:r>
    </w:p>
    <w:p w:rsidR="00512332" w:rsidRDefault="00E80EF5">
      <w:pPr>
        <w:pStyle w:val="2"/>
        <w:spacing w:after="600" w:line="400" w:lineRule="exact"/>
        <w:ind w:firstLine="643"/>
        <w:jc w:val="center"/>
        <w:rPr>
          <w:szCs w:val="28"/>
        </w:rPr>
      </w:pPr>
      <w:bookmarkStart w:id="42" w:name="_Toc248809018"/>
      <w:bookmarkStart w:id="43" w:name="_Toc250383296"/>
      <w:bookmarkStart w:id="44" w:name="_Toc427495998"/>
      <w:bookmarkStart w:id="45" w:name="_Toc431905675"/>
      <w:bookmarkStart w:id="46" w:name="_Toc532848524"/>
      <w:bookmarkStart w:id="47" w:name="_Toc532848599"/>
      <w:bookmarkStart w:id="48" w:name="_Toc431905680"/>
      <w:bookmarkStart w:id="49" w:name="_Toc427496000"/>
      <w:bookmarkStart w:id="50" w:name="_Toc431905692"/>
      <w:bookmarkStart w:id="51" w:name="_Toc427496001"/>
      <w:bookmarkEnd w:id="6"/>
      <w:bookmarkEnd w:id="7"/>
      <w:bookmarkEnd w:id="8"/>
      <w:r>
        <w:rPr>
          <w:rFonts w:ascii="Times New Roman" w:eastAsia="宋体" w:hAnsi="Times New Roman"/>
        </w:rPr>
        <w:lastRenderedPageBreak/>
        <w:t>5</w:t>
      </w:r>
      <w:bookmarkEnd w:id="42"/>
      <w:bookmarkEnd w:id="43"/>
      <w:r>
        <w:rPr>
          <w:rFonts w:ascii="Times New Roman" w:eastAsia="宋体" w:hAnsi="Times New Roman"/>
        </w:rPr>
        <w:t xml:space="preserve">  </w:t>
      </w:r>
      <w:bookmarkStart w:id="52" w:name="_Toc431905676"/>
      <w:bookmarkEnd w:id="44"/>
      <w:bookmarkEnd w:id="45"/>
      <w:r>
        <w:rPr>
          <w:rFonts w:ascii="Times New Roman" w:eastAsia="宋体" w:hAnsi="Times New Roman" w:hint="eastAsia"/>
        </w:rPr>
        <w:t>预制外墙外表面积比计算</w:t>
      </w:r>
      <w:bookmarkEnd w:id="46"/>
      <w:bookmarkEnd w:id="47"/>
      <w:bookmarkEnd w:id="52"/>
    </w:p>
    <w:p w:rsidR="00512332" w:rsidRDefault="00E80EF5">
      <w:pPr>
        <w:pStyle w:val="4"/>
        <w:spacing w:before="120"/>
      </w:pPr>
      <w:bookmarkStart w:id="53" w:name="_Toc498349282"/>
      <w:r>
        <w:rPr>
          <w:b/>
        </w:rPr>
        <w:t>5.</w:t>
      </w:r>
      <w:r>
        <w:rPr>
          <w:rFonts w:hint="eastAsia"/>
          <w:b/>
        </w:rPr>
        <w:t>0</w:t>
      </w:r>
      <w:r>
        <w:rPr>
          <w:b/>
        </w:rPr>
        <w:t>.</w:t>
      </w:r>
      <w:r>
        <w:rPr>
          <w:rFonts w:hint="eastAsia"/>
          <w:b/>
        </w:rPr>
        <w:t>1</w:t>
      </w:r>
      <w:r>
        <w:t xml:space="preserve"> </w:t>
      </w:r>
      <w:r>
        <w:t>装配式混凝土建筑宜采用预制外墙，房地产开发的住宅项目预制外墙外表面积比不应小于</w:t>
      </w:r>
      <w:r>
        <w:t>50%</w:t>
      </w:r>
      <w:r>
        <w:t>。</w:t>
      </w:r>
    </w:p>
    <w:p w:rsidR="00512332" w:rsidRDefault="00E80EF5">
      <w:pPr>
        <w:pStyle w:val="4"/>
        <w:spacing w:before="120"/>
      </w:pPr>
      <w:r>
        <w:rPr>
          <w:rFonts w:hint="eastAsia"/>
          <w:b/>
        </w:rPr>
        <w:t>5</w:t>
      </w:r>
      <w:r>
        <w:rPr>
          <w:b/>
        </w:rPr>
        <w:t>.</w:t>
      </w:r>
      <w:r>
        <w:rPr>
          <w:rFonts w:hint="eastAsia"/>
          <w:b/>
        </w:rPr>
        <w:t>0.</w:t>
      </w:r>
      <w:bookmarkEnd w:id="53"/>
      <w:r>
        <w:rPr>
          <w:rFonts w:hint="eastAsia"/>
          <w:b/>
        </w:rPr>
        <w:t>2</w:t>
      </w:r>
      <w:r>
        <w:t>预制外墙外表面积比计算公式</w:t>
      </w:r>
    </w:p>
    <w:p w:rsidR="00512332" w:rsidRDefault="00512332">
      <w:pPr>
        <w:adjustRightInd w:val="0"/>
        <w:snapToGrid w:val="0"/>
        <w:spacing w:line="240" w:lineRule="auto"/>
        <w:jc w:val="right"/>
        <w:rPr>
          <w:bCs/>
          <w:color w:val="000000" w:themeColor="text1"/>
          <w:spacing w:val="10"/>
          <w:szCs w:val="21"/>
        </w:rPr>
      </w:pPr>
      <w:r w:rsidRPr="00512332">
        <w:rPr>
          <w:rFonts w:eastAsiaTheme="minorEastAsia"/>
          <w:color w:val="000000" w:themeColor="text1"/>
          <w:position w:val="-22"/>
        </w:rPr>
        <w:object w:dxaOrig="1521" w:dyaOrig="554">
          <v:shape id="_x0000_i1117" type="#_x0000_t75" style="width:73.5pt;height:26.25pt" o:ole="">
            <v:imagedata r:id="rId190" o:title=""/>
          </v:shape>
          <o:OLEObject Type="Embed" ProgID="Equation.AxMath" ShapeID="_x0000_i1117" DrawAspect="Content" ObjectID="_1606634912" r:id="rId191"/>
        </w:object>
      </w:r>
      <w:r w:rsidR="00E80EF5">
        <w:rPr>
          <w:rFonts w:eastAsiaTheme="minorEastAsia" w:hint="eastAsia"/>
          <w:color w:val="000000" w:themeColor="text1"/>
        </w:rPr>
        <w:t xml:space="preserve">                       </w:t>
      </w:r>
      <w:r w:rsidR="00E80EF5">
        <w:rPr>
          <w:rFonts w:eastAsiaTheme="minorEastAsia"/>
          <w:color w:val="000000" w:themeColor="text1"/>
        </w:rPr>
        <w:t>(5.0.</w:t>
      </w:r>
      <w:r w:rsidR="00E80EF5">
        <w:rPr>
          <w:rFonts w:eastAsiaTheme="minorEastAsia" w:hint="eastAsia"/>
          <w:color w:val="000000" w:themeColor="text1"/>
        </w:rPr>
        <w:t>2</w:t>
      </w:r>
      <w:r w:rsidR="00E80EF5">
        <w:rPr>
          <w:rFonts w:eastAsiaTheme="minorEastAsia"/>
          <w:color w:val="000000" w:themeColor="text1"/>
        </w:rPr>
        <w:t>)</w:t>
      </w:r>
    </w:p>
    <w:tbl>
      <w:tblPr>
        <w:tblStyle w:val="afa"/>
        <w:tblW w:w="9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6"/>
        <w:gridCol w:w="576"/>
        <w:gridCol w:w="816"/>
        <w:gridCol w:w="7514"/>
      </w:tblGrid>
      <w:tr w:rsidR="00512332">
        <w:tc>
          <w:tcPr>
            <w:tcW w:w="1086" w:type="dxa"/>
          </w:tcPr>
          <w:p w:rsidR="00512332" w:rsidRDefault="00E80EF5">
            <w:r>
              <w:t>式中：</w:t>
            </w:r>
          </w:p>
        </w:tc>
        <w:tc>
          <w:tcPr>
            <w:tcW w:w="576" w:type="dxa"/>
          </w:tcPr>
          <w:p w:rsidR="00512332" w:rsidRDefault="00512332">
            <w:r w:rsidRPr="00512332">
              <w:rPr>
                <w:position w:val="-10"/>
              </w:rPr>
              <w:object w:dxaOrig="193" w:dyaOrig="299">
                <v:shape id="_x0000_i1118" type="#_x0000_t75" style="width:9.75pt;height:14.25pt" o:ole="">
                  <v:imagedata r:id="rId192" o:title=""/>
                </v:shape>
                <o:OLEObject Type="Embed" ProgID="Equation.AxMath" ShapeID="_x0000_i1118" DrawAspect="Content" ObjectID="_1606634913" r:id="rId193"/>
              </w:object>
            </w:r>
          </w:p>
        </w:tc>
        <w:tc>
          <w:tcPr>
            <w:tcW w:w="816" w:type="dxa"/>
          </w:tcPr>
          <w:p w:rsidR="00512332" w:rsidRDefault="00E80EF5">
            <w:r>
              <w:t>——</w:t>
            </w:r>
          </w:p>
        </w:tc>
        <w:tc>
          <w:tcPr>
            <w:tcW w:w="7514" w:type="dxa"/>
          </w:tcPr>
          <w:p w:rsidR="00512332" w:rsidRDefault="00E80EF5">
            <w:r>
              <w:rPr>
                <w:color w:val="000000" w:themeColor="text1"/>
              </w:rPr>
              <w:t>预制外墙外表面积比</w:t>
            </w:r>
          </w:p>
        </w:tc>
      </w:tr>
      <w:tr w:rsidR="00512332">
        <w:tc>
          <w:tcPr>
            <w:tcW w:w="1086" w:type="dxa"/>
          </w:tcPr>
          <w:p w:rsidR="00512332" w:rsidRDefault="00512332">
            <w:pPr>
              <w:rPr>
                <w:rFonts w:asciiTheme="minorEastAsia"/>
                <w:color w:val="000000" w:themeColor="text1"/>
              </w:rPr>
            </w:pPr>
          </w:p>
        </w:tc>
        <w:tc>
          <w:tcPr>
            <w:tcW w:w="576" w:type="dxa"/>
          </w:tcPr>
          <w:p w:rsidR="00512332" w:rsidRDefault="00512332">
            <w:r w:rsidRPr="00512332">
              <w:rPr>
                <w:position w:val="-10"/>
              </w:rPr>
              <w:object w:dxaOrig="218" w:dyaOrig="302">
                <v:shape id="_x0000_i1119" type="#_x0000_t75" style="width:10.5pt;height:15pt" o:ole="">
                  <v:imagedata r:id="rId194" o:title=""/>
                </v:shape>
                <o:OLEObject Type="Embed" ProgID="Equation.AxMath" ShapeID="_x0000_i1119" DrawAspect="Content" ObjectID="_1606634914" r:id="rId195"/>
              </w:object>
            </w:r>
          </w:p>
        </w:tc>
        <w:tc>
          <w:tcPr>
            <w:tcW w:w="816" w:type="dxa"/>
          </w:tcPr>
          <w:p w:rsidR="00512332" w:rsidRDefault="00E80EF5">
            <w:r>
              <w:t>——</w:t>
            </w:r>
          </w:p>
        </w:tc>
        <w:tc>
          <w:tcPr>
            <w:tcW w:w="7514" w:type="dxa"/>
          </w:tcPr>
          <w:p w:rsidR="00512332" w:rsidRDefault="00E80EF5">
            <w:r>
              <w:rPr>
                <w:color w:val="000000" w:themeColor="text1"/>
              </w:rPr>
              <w:t>预制外墙外表面积</w:t>
            </w:r>
          </w:p>
        </w:tc>
      </w:tr>
      <w:tr w:rsidR="00512332">
        <w:tc>
          <w:tcPr>
            <w:tcW w:w="1086" w:type="dxa"/>
          </w:tcPr>
          <w:p w:rsidR="00512332" w:rsidRDefault="00512332">
            <w:pPr>
              <w:rPr>
                <w:rFonts w:asciiTheme="minorEastAsia"/>
                <w:color w:val="000000" w:themeColor="text1"/>
              </w:rPr>
            </w:pPr>
          </w:p>
        </w:tc>
        <w:tc>
          <w:tcPr>
            <w:tcW w:w="576" w:type="dxa"/>
          </w:tcPr>
          <w:p w:rsidR="00512332" w:rsidRDefault="00512332">
            <w:pPr>
              <w:rPr>
                <w:rFonts w:asciiTheme="minorEastAsia"/>
                <w:color w:val="000000" w:themeColor="text1"/>
              </w:rPr>
            </w:pPr>
            <w:r w:rsidRPr="00512332">
              <w:rPr>
                <w:position w:val="-10"/>
              </w:rPr>
              <w:object w:dxaOrig="347" w:dyaOrig="301">
                <v:shape id="_x0000_i1120" type="#_x0000_t75" style="width:18pt;height:15pt" o:ole="">
                  <v:imagedata r:id="rId96" o:title=""/>
                </v:shape>
                <o:OLEObject Type="Embed" ProgID="Equation.AxMath" ShapeID="_x0000_i1120" DrawAspect="Content" ObjectID="_1606634915" r:id="rId196"/>
              </w:object>
            </w:r>
          </w:p>
        </w:tc>
        <w:tc>
          <w:tcPr>
            <w:tcW w:w="816" w:type="dxa"/>
          </w:tcPr>
          <w:p w:rsidR="00512332" w:rsidRDefault="00E80EF5">
            <w:r>
              <w:t>——</w:t>
            </w:r>
          </w:p>
        </w:tc>
        <w:tc>
          <w:tcPr>
            <w:tcW w:w="7514" w:type="dxa"/>
          </w:tcPr>
          <w:p w:rsidR="00512332" w:rsidRDefault="00E80EF5">
            <w:r>
              <w:rPr>
                <w:color w:val="000000" w:themeColor="text1"/>
              </w:rPr>
              <w:t>外墙总体外表面积</w:t>
            </w:r>
          </w:p>
        </w:tc>
      </w:tr>
    </w:tbl>
    <w:p w:rsidR="00512332" w:rsidRDefault="00E80EF5">
      <w:pPr>
        <w:pStyle w:val="4"/>
        <w:spacing w:before="120"/>
      </w:pPr>
      <w:r>
        <w:rPr>
          <w:rFonts w:hint="eastAsia"/>
          <w:b/>
        </w:rPr>
        <w:t>5.0.3</w:t>
      </w:r>
      <w:r>
        <w:rPr>
          <w:b/>
        </w:rPr>
        <w:t xml:space="preserve"> </w:t>
      </w:r>
      <w:r>
        <w:t>外墙总体外表面积（</w:t>
      </w:r>
      <w:r w:rsidR="00512332" w:rsidRPr="00512332">
        <w:rPr>
          <w:position w:val="-10"/>
        </w:rPr>
        <w:object w:dxaOrig="347" w:dyaOrig="301">
          <v:shape id="_x0000_i1121" type="#_x0000_t75" style="width:18pt;height:15pt" o:ole="">
            <v:imagedata r:id="rId96" o:title=""/>
          </v:shape>
          <o:OLEObject Type="Embed" ProgID="Equation.AxMath" ShapeID="_x0000_i1121" DrawAspect="Content" ObjectID="_1606634916" r:id="rId197"/>
        </w:object>
      </w:r>
      <w:r>
        <w:t>）为建筑各层（</w:t>
      </w:r>
      <w:r>
        <w:rPr>
          <w:rFonts w:asciiTheme="minorEastAsia" w:hint="eastAsia"/>
        </w:rPr>
        <w:t>建筑</w:t>
      </w:r>
      <w:r>
        <w:rPr>
          <w:rFonts w:asciiTheme="minorEastAsia"/>
        </w:rPr>
        <w:t>顶层、机房层及</w:t>
      </w:r>
      <w:r>
        <w:rPr>
          <w:rFonts w:asciiTheme="minorEastAsia" w:hint="eastAsia"/>
        </w:rPr>
        <w:t>底层</w:t>
      </w:r>
      <w:r>
        <w:rPr>
          <w:rFonts w:asciiTheme="minorEastAsia"/>
        </w:rPr>
        <w:t>或底部加强层除外</w:t>
      </w:r>
      <w:r>
        <w:t>）外轮廓周长与高度之积的总和，无围护结构的悬挑构件、空调板、装饰构架、装饰线条等外墙附属构件不计入外墙总体外表面积（</w:t>
      </w:r>
      <w:r w:rsidR="00512332" w:rsidRPr="00512332">
        <w:rPr>
          <w:position w:val="-10"/>
        </w:rPr>
        <w:object w:dxaOrig="347" w:dyaOrig="301">
          <v:shape id="_x0000_i1122" type="#_x0000_t75" style="width:18pt;height:15pt" o:ole="">
            <v:imagedata r:id="rId96" o:title=""/>
          </v:shape>
          <o:OLEObject Type="Embed" ProgID="Equation.AxMath" ShapeID="_x0000_i1122" DrawAspect="Content" ObjectID="_1606634917" r:id="rId198"/>
        </w:object>
      </w:r>
      <w:r>
        <w:t>）。外墙总体外表面积（</w:t>
      </w:r>
      <w:r w:rsidR="00512332" w:rsidRPr="00512332">
        <w:rPr>
          <w:position w:val="-10"/>
        </w:rPr>
        <w:object w:dxaOrig="347" w:dyaOrig="301">
          <v:shape id="_x0000_i1123" type="#_x0000_t75" style="width:18pt;height:15pt" o:ole="">
            <v:imagedata r:id="rId96" o:title=""/>
          </v:shape>
          <o:OLEObject Type="Embed" ProgID="Equation.AxMath" ShapeID="_x0000_i1123" DrawAspect="Content" ObjectID="_1606634918" r:id="rId199"/>
        </w:object>
      </w:r>
      <w:r>
        <w:t>）计算时应符合以下规定：</w:t>
      </w:r>
    </w:p>
    <w:p w:rsidR="00512332" w:rsidRDefault="00E80EF5">
      <w:pPr>
        <w:ind w:firstLineChars="188" w:firstLine="566"/>
      </w:pPr>
      <w:r>
        <w:rPr>
          <w:rFonts w:hint="eastAsia"/>
          <w:b/>
        </w:rPr>
        <w:t xml:space="preserve">1 </w:t>
      </w:r>
      <w:r>
        <w:t>架空层外墙外表面积为具有实际功能的四面围合空间的外墙外表面积。</w:t>
      </w:r>
    </w:p>
    <w:p w:rsidR="00512332" w:rsidRDefault="00E80EF5">
      <w:pPr>
        <w:ind w:firstLineChars="188" w:firstLine="566"/>
      </w:pPr>
      <w:r>
        <w:rPr>
          <w:rFonts w:hint="eastAsia"/>
          <w:b/>
        </w:rPr>
        <w:t>2</w:t>
      </w:r>
      <w:r>
        <w:t>设置凸窗时建筑外轮廓周长取值为凸窗对应部位主体结构墙面的长度，不计算凸窗挑出部分长度（图</w:t>
      </w:r>
      <w:r>
        <w:t>5.</w:t>
      </w:r>
      <w:r>
        <w:rPr>
          <w:rFonts w:hint="eastAsia"/>
        </w:rPr>
        <w:t>0</w:t>
      </w:r>
      <w:r>
        <w:t>.</w:t>
      </w:r>
      <w:r>
        <w:rPr>
          <w:rFonts w:hint="eastAsia"/>
        </w:rPr>
        <w:t>3-2</w:t>
      </w:r>
      <w:r>
        <w:t>）。</w:t>
      </w:r>
    </w:p>
    <w:p w:rsidR="00512332" w:rsidRDefault="00E80EF5">
      <w:pPr>
        <w:adjustRightInd w:val="0"/>
        <w:snapToGrid w:val="0"/>
        <w:spacing w:line="240" w:lineRule="auto"/>
        <w:ind w:firstLineChars="200" w:firstLine="600"/>
        <w:jc w:val="center"/>
        <w:rPr>
          <w:rFonts w:eastAsiaTheme="minorEastAsia"/>
          <w:color w:val="000000" w:themeColor="text1"/>
        </w:rPr>
      </w:pPr>
      <w:r>
        <w:rPr>
          <w:rFonts w:eastAsiaTheme="minorEastAsia"/>
          <w:noProof/>
          <w:color w:val="000000" w:themeColor="text1"/>
        </w:rPr>
        <w:drawing>
          <wp:inline distT="0" distB="0" distL="0" distR="0">
            <wp:extent cx="3088005" cy="713105"/>
            <wp:effectExtent l="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noChangeArrowheads="1"/>
                    </pic:cNvPicPr>
                  </pic:nvPicPr>
                  <pic:blipFill>
                    <a:blip r:embed="rId20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02680" cy="716854"/>
                    </a:xfrm>
                    <a:prstGeom prst="rect">
                      <a:avLst/>
                    </a:prstGeom>
                    <a:noFill/>
                    <a:ln>
                      <a:noFill/>
                    </a:ln>
                  </pic:spPr>
                </pic:pic>
              </a:graphicData>
            </a:graphic>
          </wp:inline>
        </w:drawing>
      </w:r>
    </w:p>
    <w:p w:rsidR="00512332" w:rsidRDefault="00E80EF5">
      <w:pPr>
        <w:adjustRightInd w:val="0"/>
        <w:snapToGrid w:val="0"/>
        <w:spacing w:line="320" w:lineRule="exact"/>
        <w:ind w:firstLineChars="200" w:firstLine="562"/>
        <w:jc w:val="center"/>
        <w:rPr>
          <w:rFonts w:eastAsiaTheme="minorEastAsia"/>
          <w:b/>
          <w:color w:val="000000" w:themeColor="text1"/>
          <w:sz w:val="28"/>
          <w:szCs w:val="28"/>
        </w:rPr>
      </w:pPr>
      <w:r>
        <w:rPr>
          <w:rFonts w:eastAsiaTheme="minorEastAsia" w:hAnsiTheme="minorEastAsia"/>
          <w:b/>
          <w:color w:val="000000" w:themeColor="text1"/>
          <w:sz w:val="28"/>
          <w:szCs w:val="28"/>
        </w:rPr>
        <w:t>图</w:t>
      </w:r>
      <w:r>
        <w:rPr>
          <w:rFonts w:eastAsiaTheme="minorEastAsia"/>
          <w:b/>
          <w:color w:val="000000" w:themeColor="text1"/>
          <w:sz w:val="28"/>
          <w:szCs w:val="28"/>
        </w:rPr>
        <w:t>5.</w:t>
      </w:r>
      <w:r>
        <w:rPr>
          <w:rFonts w:eastAsiaTheme="minorEastAsia" w:hint="eastAsia"/>
          <w:b/>
          <w:color w:val="000000" w:themeColor="text1"/>
          <w:sz w:val="28"/>
          <w:szCs w:val="28"/>
        </w:rPr>
        <w:t>0</w:t>
      </w:r>
      <w:r>
        <w:rPr>
          <w:rFonts w:eastAsiaTheme="minorEastAsia"/>
          <w:b/>
          <w:color w:val="000000" w:themeColor="text1"/>
          <w:sz w:val="28"/>
          <w:szCs w:val="28"/>
        </w:rPr>
        <w:t>.</w:t>
      </w:r>
      <w:r>
        <w:rPr>
          <w:rFonts w:eastAsiaTheme="minorEastAsia" w:hint="eastAsia"/>
          <w:b/>
          <w:color w:val="000000" w:themeColor="text1"/>
          <w:sz w:val="28"/>
          <w:szCs w:val="28"/>
        </w:rPr>
        <w:t>3-2</w:t>
      </w:r>
      <w:r>
        <w:rPr>
          <w:rFonts w:eastAsiaTheme="minorEastAsia" w:hAnsiTheme="minorEastAsia"/>
          <w:b/>
          <w:color w:val="000000" w:themeColor="text1"/>
          <w:sz w:val="28"/>
          <w:szCs w:val="28"/>
        </w:rPr>
        <w:t>凸窗计算长度示意图</w:t>
      </w:r>
    </w:p>
    <w:p w:rsidR="00512332" w:rsidRDefault="00E80EF5">
      <w:pPr>
        <w:ind w:firstLineChars="188" w:firstLine="564"/>
      </w:pPr>
      <w:r>
        <w:rPr>
          <w:rFonts w:hint="eastAsia"/>
        </w:rPr>
        <w:t>3</w:t>
      </w:r>
      <w:r>
        <w:t>设置阳台（设备平台）时建筑外轮廓周长取值为阳台、设备平台水平投影部分的外围长度（图</w:t>
      </w:r>
      <w:r>
        <w:t>5.</w:t>
      </w:r>
      <w:r>
        <w:rPr>
          <w:rFonts w:hint="eastAsia"/>
        </w:rPr>
        <w:t>0</w:t>
      </w:r>
      <w:r>
        <w:t>.</w:t>
      </w:r>
      <w:r>
        <w:rPr>
          <w:rFonts w:hint="eastAsia"/>
        </w:rPr>
        <w:t>3-3</w:t>
      </w:r>
      <w:r>
        <w:t>）。</w:t>
      </w:r>
    </w:p>
    <w:p w:rsidR="00512332" w:rsidRDefault="00E80EF5">
      <w:pPr>
        <w:adjustRightInd w:val="0"/>
        <w:snapToGrid w:val="0"/>
        <w:spacing w:line="240" w:lineRule="auto"/>
        <w:ind w:firstLineChars="200" w:firstLine="600"/>
        <w:jc w:val="center"/>
        <w:rPr>
          <w:rFonts w:eastAsiaTheme="minorEastAsia"/>
          <w:color w:val="000000" w:themeColor="text1"/>
        </w:rPr>
      </w:pPr>
      <w:r>
        <w:rPr>
          <w:rFonts w:eastAsiaTheme="minorEastAsia"/>
          <w:noProof/>
          <w:color w:val="000000" w:themeColor="text1"/>
        </w:rPr>
        <w:drawing>
          <wp:inline distT="0" distB="0" distL="0" distR="0">
            <wp:extent cx="2660015" cy="849630"/>
            <wp:effectExtent l="0" t="0" r="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noChangeArrowheads="1"/>
                    </pic:cNvPicPr>
                  </pic:nvPicPr>
                  <pic:blipFill>
                    <a:blip r:embed="rId20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65469" cy="851633"/>
                    </a:xfrm>
                    <a:prstGeom prst="rect">
                      <a:avLst/>
                    </a:prstGeom>
                    <a:noFill/>
                    <a:ln>
                      <a:noFill/>
                    </a:ln>
                  </pic:spPr>
                </pic:pic>
              </a:graphicData>
            </a:graphic>
          </wp:inline>
        </w:drawing>
      </w:r>
    </w:p>
    <w:p w:rsidR="00512332" w:rsidRDefault="00E80EF5">
      <w:pPr>
        <w:adjustRightInd w:val="0"/>
        <w:snapToGrid w:val="0"/>
        <w:spacing w:line="320" w:lineRule="exact"/>
        <w:ind w:firstLineChars="200" w:firstLine="562"/>
        <w:jc w:val="center"/>
        <w:rPr>
          <w:rFonts w:eastAsiaTheme="minorEastAsia"/>
          <w:color w:val="000000" w:themeColor="text1"/>
          <w:sz w:val="28"/>
          <w:szCs w:val="28"/>
        </w:rPr>
      </w:pPr>
      <w:r>
        <w:rPr>
          <w:rFonts w:eastAsiaTheme="minorEastAsia" w:hAnsiTheme="minorEastAsia"/>
          <w:b/>
          <w:color w:val="000000" w:themeColor="text1"/>
          <w:sz w:val="28"/>
          <w:szCs w:val="28"/>
        </w:rPr>
        <w:t>图</w:t>
      </w:r>
      <w:r>
        <w:rPr>
          <w:rFonts w:eastAsiaTheme="minorEastAsia"/>
          <w:b/>
          <w:color w:val="000000" w:themeColor="text1"/>
          <w:sz w:val="28"/>
          <w:szCs w:val="28"/>
        </w:rPr>
        <w:t>5.</w:t>
      </w:r>
      <w:r>
        <w:rPr>
          <w:rFonts w:eastAsiaTheme="minorEastAsia" w:hint="eastAsia"/>
          <w:b/>
          <w:color w:val="000000" w:themeColor="text1"/>
          <w:sz w:val="28"/>
          <w:szCs w:val="28"/>
        </w:rPr>
        <w:t>0</w:t>
      </w:r>
      <w:r>
        <w:rPr>
          <w:rFonts w:eastAsiaTheme="minorEastAsia"/>
          <w:b/>
          <w:color w:val="000000" w:themeColor="text1"/>
          <w:sz w:val="28"/>
          <w:szCs w:val="28"/>
        </w:rPr>
        <w:t>.</w:t>
      </w:r>
      <w:r>
        <w:rPr>
          <w:rFonts w:eastAsiaTheme="minorEastAsia" w:hint="eastAsia"/>
          <w:b/>
          <w:color w:val="000000" w:themeColor="text1"/>
          <w:sz w:val="28"/>
          <w:szCs w:val="28"/>
        </w:rPr>
        <w:t>3-3</w:t>
      </w:r>
      <w:r>
        <w:rPr>
          <w:rFonts w:eastAsiaTheme="minorEastAsia" w:hAnsiTheme="minorEastAsia"/>
          <w:b/>
          <w:color w:val="000000" w:themeColor="text1"/>
          <w:sz w:val="28"/>
          <w:szCs w:val="28"/>
        </w:rPr>
        <w:t>阳台（露台、设备平台）计算长度示意图</w:t>
      </w:r>
    </w:p>
    <w:p w:rsidR="00512332" w:rsidRDefault="00512332">
      <w:pPr>
        <w:adjustRightInd w:val="0"/>
        <w:snapToGrid w:val="0"/>
        <w:spacing w:line="320" w:lineRule="exact"/>
        <w:ind w:firstLineChars="200" w:firstLine="602"/>
        <w:jc w:val="left"/>
        <w:rPr>
          <w:rFonts w:eastAsiaTheme="minorEastAsia"/>
          <w:b/>
          <w:color w:val="000000" w:themeColor="text1"/>
        </w:rPr>
      </w:pPr>
    </w:p>
    <w:p w:rsidR="00512332" w:rsidRDefault="00E80EF5">
      <w:pPr>
        <w:ind w:firstLineChars="188" w:firstLine="564"/>
      </w:pPr>
      <w:r>
        <w:rPr>
          <w:rFonts w:hint="eastAsia"/>
        </w:rPr>
        <w:t>4</w:t>
      </w:r>
      <w:r>
        <w:rPr>
          <w:rFonts w:hint="eastAsia"/>
        </w:rPr>
        <w:t>设置连廊的建筑，连廊与所在主体建筑形成围合内天井，建筑外轮廓周长取值为连廊水平投影部分的外围长度。内</w:t>
      </w:r>
      <w:r>
        <w:t>天井</w:t>
      </w:r>
      <w:r>
        <w:rPr>
          <w:rFonts w:hint="eastAsia"/>
        </w:rPr>
        <w:t>内侧墙体可不计入外墙总体外表面积</w:t>
      </w:r>
      <w:r>
        <w:t>（</w:t>
      </w:r>
      <w:r w:rsidR="00512332">
        <w:object w:dxaOrig="416" w:dyaOrig="362">
          <v:shape id="_x0000_i1124" type="#_x0000_t75" style="width:21pt;height:18pt" o:ole="">
            <v:imagedata r:id="rId202" o:title=""/>
          </v:shape>
          <o:OLEObject Type="Embed" ProgID="Equation.AxMath" ShapeID="_x0000_i1124" DrawAspect="Content" ObjectID="_1606634919" r:id="rId203"/>
        </w:object>
      </w:r>
      <w:r>
        <w:t>）（图</w:t>
      </w:r>
      <w:r>
        <w:t>5.</w:t>
      </w:r>
      <w:r>
        <w:rPr>
          <w:rFonts w:hint="eastAsia"/>
        </w:rPr>
        <w:t>0</w:t>
      </w:r>
      <w:r>
        <w:t>.</w:t>
      </w:r>
      <w:r>
        <w:rPr>
          <w:rFonts w:hint="eastAsia"/>
        </w:rPr>
        <w:t>3-4</w:t>
      </w:r>
      <w:r>
        <w:t>）。</w:t>
      </w:r>
    </w:p>
    <w:p w:rsidR="00512332" w:rsidRDefault="00E80EF5">
      <w:pPr>
        <w:adjustRightInd w:val="0"/>
        <w:snapToGrid w:val="0"/>
        <w:spacing w:line="240" w:lineRule="auto"/>
        <w:jc w:val="center"/>
        <w:rPr>
          <w:rFonts w:eastAsiaTheme="minorEastAsia"/>
          <w:color w:val="000000" w:themeColor="text1"/>
        </w:rPr>
      </w:pPr>
      <w:r>
        <w:rPr>
          <w:rFonts w:eastAsiaTheme="minorEastAsia"/>
          <w:noProof/>
          <w:color w:val="000000" w:themeColor="text1"/>
        </w:rPr>
        <w:lastRenderedPageBreak/>
        <w:drawing>
          <wp:inline distT="0" distB="0" distL="0" distR="0">
            <wp:extent cx="4683125" cy="2743200"/>
            <wp:effectExtent l="0" t="0" r="0"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noChangeArrowheads="1"/>
                    </pic:cNvPicPr>
                  </pic:nvPicPr>
                  <pic:blipFill>
                    <a:blip r:embed="rId20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83125" cy="2743200"/>
                    </a:xfrm>
                    <a:prstGeom prst="rect">
                      <a:avLst/>
                    </a:prstGeom>
                    <a:noFill/>
                    <a:ln>
                      <a:noFill/>
                    </a:ln>
                  </pic:spPr>
                </pic:pic>
              </a:graphicData>
            </a:graphic>
          </wp:inline>
        </w:drawing>
      </w:r>
    </w:p>
    <w:p w:rsidR="00512332" w:rsidRDefault="00E80EF5">
      <w:pPr>
        <w:adjustRightInd w:val="0"/>
        <w:snapToGrid w:val="0"/>
        <w:spacing w:line="320" w:lineRule="exact"/>
        <w:jc w:val="center"/>
        <w:rPr>
          <w:rFonts w:eastAsiaTheme="minorEastAsia" w:hAnsiTheme="minorEastAsia"/>
          <w:b/>
          <w:color w:val="000000" w:themeColor="text1"/>
          <w:sz w:val="28"/>
          <w:szCs w:val="28"/>
        </w:rPr>
      </w:pPr>
      <w:r>
        <w:rPr>
          <w:rFonts w:eastAsiaTheme="minorEastAsia" w:hAnsiTheme="minorEastAsia"/>
          <w:b/>
          <w:color w:val="000000" w:themeColor="text1"/>
          <w:sz w:val="28"/>
          <w:szCs w:val="28"/>
        </w:rPr>
        <w:t>图</w:t>
      </w:r>
      <w:r>
        <w:rPr>
          <w:rFonts w:eastAsiaTheme="minorEastAsia"/>
          <w:b/>
          <w:color w:val="000000" w:themeColor="text1"/>
          <w:sz w:val="28"/>
          <w:szCs w:val="28"/>
        </w:rPr>
        <w:t>5.</w:t>
      </w:r>
      <w:r>
        <w:rPr>
          <w:rFonts w:eastAsiaTheme="minorEastAsia" w:hint="eastAsia"/>
          <w:b/>
          <w:color w:val="000000" w:themeColor="text1"/>
          <w:sz w:val="28"/>
          <w:szCs w:val="28"/>
        </w:rPr>
        <w:t>0</w:t>
      </w:r>
      <w:r>
        <w:rPr>
          <w:rFonts w:eastAsiaTheme="minorEastAsia"/>
          <w:b/>
          <w:color w:val="000000" w:themeColor="text1"/>
          <w:sz w:val="28"/>
          <w:szCs w:val="28"/>
        </w:rPr>
        <w:t>.</w:t>
      </w:r>
      <w:r>
        <w:rPr>
          <w:rFonts w:eastAsiaTheme="minorEastAsia" w:hint="eastAsia"/>
          <w:b/>
          <w:color w:val="000000" w:themeColor="text1"/>
          <w:sz w:val="28"/>
          <w:szCs w:val="28"/>
        </w:rPr>
        <w:t>3-4</w:t>
      </w:r>
      <w:r>
        <w:rPr>
          <w:rFonts w:eastAsiaTheme="minorEastAsia" w:hAnsiTheme="minorEastAsia"/>
          <w:b/>
          <w:color w:val="000000" w:themeColor="text1"/>
          <w:sz w:val="28"/>
          <w:szCs w:val="28"/>
        </w:rPr>
        <w:t>内天井计算长度示意图</w:t>
      </w:r>
    </w:p>
    <w:p w:rsidR="00512332" w:rsidRDefault="00512332">
      <w:pPr>
        <w:adjustRightInd w:val="0"/>
        <w:snapToGrid w:val="0"/>
        <w:spacing w:line="320" w:lineRule="exact"/>
        <w:jc w:val="center"/>
        <w:rPr>
          <w:rFonts w:eastAsiaTheme="minorEastAsia"/>
          <w:b/>
          <w:color w:val="000000" w:themeColor="text1"/>
          <w:szCs w:val="21"/>
        </w:rPr>
      </w:pPr>
    </w:p>
    <w:p w:rsidR="00512332" w:rsidRDefault="00E80EF5">
      <w:pPr>
        <w:pStyle w:val="4"/>
        <w:spacing w:before="120"/>
      </w:pPr>
      <w:r>
        <w:rPr>
          <w:rFonts w:hint="eastAsia"/>
          <w:b/>
        </w:rPr>
        <w:t>5.0.4</w:t>
      </w:r>
      <w:r>
        <w:rPr>
          <w:rFonts w:hint="eastAsia"/>
        </w:rPr>
        <w:t>预制外墙外表面积（</w:t>
      </w:r>
      <w:r w:rsidR="00512332" w:rsidRPr="00512332">
        <w:rPr>
          <w:position w:val="-10"/>
        </w:rPr>
        <w:object w:dxaOrig="218" w:dyaOrig="302">
          <v:shape id="_x0000_i1125" type="#_x0000_t75" style="width:10.5pt;height:15pt" o:ole="">
            <v:imagedata r:id="rId194" o:title=""/>
          </v:shape>
          <o:OLEObject Type="Embed" ProgID="Equation.AxMath" ShapeID="_x0000_i1125" DrawAspect="Content" ObjectID="_1606634920" r:id="rId205"/>
        </w:object>
      </w:r>
      <w:r>
        <w:rPr>
          <w:rFonts w:hint="eastAsia"/>
        </w:rPr>
        <w:t>）为单片预制外墙长度与预制外墙高度之积的总和。预制外墙（包含内嵌式、外挂式、嵌挂结合等形式）外表面积计算时应符合以下规定：</w:t>
      </w:r>
    </w:p>
    <w:p w:rsidR="00512332" w:rsidRDefault="00E80EF5">
      <w:pPr>
        <w:ind w:firstLineChars="188" w:firstLine="564"/>
      </w:pPr>
      <w:r>
        <w:t>1</w:t>
      </w:r>
      <w:r>
        <w:t>预制外墙外表面积（</w:t>
      </w:r>
      <w:r w:rsidR="00512332">
        <w:object w:dxaOrig="218" w:dyaOrig="302">
          <v:shape id="_x0000_i1126" type="#_x0000_t75" style="width:10.5pt;height:15pt" o:ole="">
            <v:imagedata r:id="rId194" o:title=""/>
          </v:shape>
          <o:OLEObject Type="Embed" ProgID="Equation.AxMath" ShapeID="_x0000_i1126" DrawAspect="Content" ObjectID="_1606634921" r:id="rId206"/>
        </w:object>
      </w:r>
      <w:r>
        <w:t>）的计算范围不应超出外墙总体外表面积（</w:t>
      </w:r>
      <w:r w:rsidR="00512332">
        <w:object w:dxaOrig="347" w:dyaOrig="301">
          <v:shape id="_x0000_i1127" type="#_x0000_t75" style="width:18pt;height:15pt" o:ole="">
            <v:imagedata r:id="rId96" o:title=""/>
          </v:shape>
          <o:OLEObject Type="Embed" ProgID="Equation.AxMath" ShapeID="_x0000_i1127" DrawAspect="Content" ObjectID="_1606634922" r:id="rId207"/>
        </w:object>
      </w:r>
      <w:r>
        <w:t>）的计算范围。</w:t>
      </w:r>
    </w:p>
    <w:p w:rsidR="00512332" w:rsidRDefault="00E80EF5">
      <w:pPr>
        <w:ind w:firstLineChars="188" w:firstLine="564"/>
      </w:pPr>
      <w:r>
        <w:t>2</w:t>
      </w:r>
      <w:r>
        <w:t>计算预制外墙外表面积（</w:t>
      </w:r>
      <w:r w:rsidR="00512332">
        <w:object w:dxaOrig="218" w:dyaOrig="302">
          <v:shape id="_x0000_i1128" type="#_x0000_t75" style="width:10.5pt;height:15pt" o:ole="">
            <v:imagedata r:id="rId194" o:title=""/>
          </v:shape>
          <o:OLEObject Type="Embed" ProgID="Equation.AxMath" ShapeID="_x0000_i1128" DrawAspect="Content" ObjectID="_1606634923" r:id="rId208"/>
        </w:object>
      </w:r>
      <w:r>
        <w:t>）时，门、窗洞口位于单片预制外墙构件内，四面（或三面）</w:t>
      </w:r>
      <w:r>
        <w:rPr>
          <w:rFonts w:hint="eastAsia"/>
        </w:rPr>
        <w:t>围合且洞口面积不超过单片</w:t>
      </w:r>
      <w:r>
        <w:t>预制</w:t>
      </w:r>
      <w:r>
        <w:rPr>
          <w:rFonts w:hint="eastAsia"/>
        </w:rPr>
        <w:t>外墙面积的</w:t>
      </w:r>
      <w:r>
        <w:rPr>
          <w:rFonts w:hint="eastAsia"/>
        </w:rPr>
        <w:t>75%</w:t>
      </w:r>
      <w:r>
        <w:rPr>
          <w:rFonts w:hint="eastAsia"/>
        </w:rPr>
        <w:t>时，</w:t>
      </w:r>
      <w:r>
        <w:t>无需</w:t>
      </w:r>
      <w:r>
        <w:rPr>
          <w:rFonts w:hint="eastAsia"/>
        </w:rPr>
        <w:t>扣除</w:t>
      </w:r>
      <w:r>
        <w:t>预制</w:t>
      </w:r>
      <w:r>
        <w:rPr>
          <w:rFonts w:hint="eastAsia"/>
        </w:rPr>
        <w:t>外墙构件上门、</w:t>
      </w:r>
      <w:r>
        <w:t>窗</w:t>
      </w:r>
      <w:r>
        <w:rPr>
          <w:rFonts w:hint="eastAsia"/>
        </w:rPr>
        <w:t>洞口的外表面积</w:t>
      </w:r>
      <w:r>
        <w:t>（图</w:t>
      </w:r>
      <w:r>
        <w:t>5.</w:t>
      </w:r>
      <w:r>
        <w:rPr>
          <w:rFonts w:hint="eastAsia"/>
        </w:rPr>
        <w:t>0</w:t>
      </w:r>
      <w:r>
        <w:t>.</w:t>
      </w:r>
      <w:r>
        <w:rPr>
          <w:rFonts w:hint="eastAsia"/>
        </w:rPr>
        <w:t>4-</w:t>
      </w:r>
      <w:r>
        <w:t>2</w:t>
      </w:r>
      <w:r>
        <w:t>）</w:t>
      </w:r>
    </w:p>
    <w:p w:rsidR="00512332" w:rsidRDefault="00E80EF5">
      <w:pPr>
        <w:adjustRightInd w:val="0"/>
        <w:snapToGrid w:val="0"/>
        <w:spacing w:line="240" w:lineRule="auto"/>
        <w:ind w:firstLineChars="200" w:firstLine="600"/>
        <w:jc w:val="center"/>
        <w:rPr>
          <w:rFonts w:eastAsiaTheme="minorEastAsia"/>
          <w:color w:val="000000" w:themeColor="text1"/>
        </w:rPr>
      </w:pPr>
      <w:r>
        <w:rPr>
          <w:rFonts w:eastAsiaTheme="minorEastAsia"/>
          <w:noProof/>
          <w:color w:val="000000" w:themeColor="text1"/>
        </w:rPr>
        <w:drawing>
          <wp:inline distT="0" distB="0" distL="0" distR="0">
            <wp:extent cx="4066540" cy="2306955"/>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noChangeArrowheads="1"/>
                    </pic:cNvPicPr>
                  </pic:nvPicPr>
                  <pic:blipFill>
                    <a:blip r:embed="rId20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66540" cy="2306955"/>
                    </a:xfrm>
                    <a:prstGeom prst="rect">
                      <a:avLst/>
                    </a:prstGeom>
                    <a:noFill/>
                    <a:ln>
                      <a:noFill/>
                    </a:ln>
                  </pic:spPr>
                </pic:pic>
              </a:graphicData>
            </a:graphic>
          </wp:inline>
        </w:drawing>
      </w:r>
    </w:p>
    <w:p w:rsidR="00512332" w:rsidRDefault="00E80EF5">
      <w:pPr>
        <w:adjustRightInd w:val="0"/>
        <w:snapToGrid w:val="0"/>
        <w:spacing w:line="320" w:lineRule="exact"/>
        <w:ind w:firstLineChars="200" w:firstLine="602"/>
        <w:jc w:val="center"/>
        <w:rPr>
          <w:rFonts w:eastAsiaTheme="minorEastAsia"/>
          <w:b/>
          <w:color w:val="000000" w:themeColor="text1"/>
          <w:szCs w:val="21"/>
        </w:rPr>
      </w:pPr>
      <w:r>
        <w:rPr>
          <w:rFonts w:eastAsiaTheme="minorEastAsia" w:hAnsiTheme="minorEastAsia"/>
          <w:b/>
          <w:color w:val="000000" w:themeColor="text1"/>
          <w:szCs w:val="21"/>
        </w:rPr>
        <w:t>图</w:t>
      </w:r>
      <w:r>
        <w:rPr>
          <w:rFonts w:eastAsiaTheme="minorEastAsia"/>
          <w:b/>
          <w:color w:val="000000" w:themeColor="text1"/>
          <w:szCs w:val="21"/>
        </w:rPr>
        <w:t>5.</w:t>
      </w:r>
      <w:r>
        <w:rPr>
          <w:rFonts w:eastAsiaTheme="minorEastAsia" w:hint="eastAsia"/>
          <w:b/>
          <w:color w:val="000000" w:themeColor="text1"/>
          <w:szCs w:val="21"/>
        </w:rPr>
        <w:t>0</w:t>
      </w:r>
      <w:r>
        <w:rPr>
          <w:rFonts w:eastAsiaTheme="minorEastAsia"/>
          <w:b/>
          <w:color w:val="000000" w:themeColor="text1"/>
          <w:szCs w:val="21"/>
        </w:rPr>
        <w:t>.</w:t>
      </w:r>
      <w:r>
        <w:rPr>
          <w:rFonts w:eastAsiaTheme="minorEastAsia" w:hint="eastAsia"/>
          <w:b/>
          <w:color w:val="000000" w:themeColor="text1"/>
          <w:szCs w:val="21"/>
        </w:rPr>
        <w:t>4-</w:t>
      </w:r>
      <w:r>
        <w:rPr>
          <w:rFonts w:eastAsiaTheme="minorEastAsia"/>
          <w:b/>
          <w:color w:val="000000" w:themeColor="text1"/>
          <w:szCs w:val="21"/>
        </w:rPr>
        <w:t>2</w:t>
      </w:r>
      <w:r>
        <w:rPr>
          <w:rFonts w:eastAsiaTheme="minorEastAsia" w:hAnsiTheme="minorEastAsia"/>
          <w:b/>
          <w:color w:val="000000" w:themeColor="text1"/>
          <w:szCs w:val="21"/>
        </w:rPr>
        <w:t>四（三）面围合墙板示意图</w:t>
      </w:r>
    </w:p>
    <w:p w:rsidR="00512332" w:rsidRDefault="00E80EF5">
      <w:pPr>
        <w:ind w:firstLineChars="188" w:firstLine="564"/>
      </w:pPr>
      <w:r>
        <w:t>3</w:t>
      </w:r>
      <w:r>
        <w:rPr>
          <w:rFonts w:hint="eastAsia"/>
        </w:rPr>
        <w:t>预制外墙上设有现浇叠合层且高度不大于</w:t>
      </w:r>
      <w:r>
        <w:rPr>
          <w:rFonts w:hint="eastAsia"/>
        </w:rPr>
        <w:t>300mm</w:t>
      </w:r>
      <w:r>
        <w:rPr>
          <w:rFonts w:hint="eastAsia"/>
        </w:rPr>
        <w:t>时，预制外墙的计算高度为预制部分和现浇叠合部分高度之和。</w:t>
      </w:r>
    </w:p>
    <w:p w:rsidR="00512332" w:rsidRDefault="00E80EF5">
      <w:pPr>
        <w:ind w:firstLineChars="188" w:firstLine="564"/>
      </w:pPr>
      <w:r>
        <w:t>4</w:t>
      </w:r>
      <w:r>
        <w:t>采用预制凸窗时，预制凸窗的预制外墙外表面积（</w:t>
      </w:r>
      <w:r w:rsidR="00512332">
        <w:object w:dxaOrig="218" w:dyaOrig="302">
          <v:shape id="_x0000_i1129" type="#_x0000_t75" style="width:10.5pt;height:15pt" o:ole="">
            <v:imagedata r:id="rId194" o:title=""/>
          </v:shape>
          <o:OLEObject Type="Embed" ProgID="Equation.AxMath" ShapeID="_x0000_i1129" DrawAspect="Content" ObjectID="_1606634924" r:id="rId210"/>
        </w:object>
      </w:r>
      <w:r>
        <w:t>）为预制凸窗所对应的主体结构墙面长度与层高之积，不计算凸窗挑出部分长度</w:t>
      </w:r>
      <w:r>
        <w:lastRenderedPageBreak/>
        <w:t>（图</w:t>
      </w:r>
      <w:r>
        <w:t>5.</w:t>
      </w:r>
      <w:r>
        <w:rPr>
          <w:rFonts w:hint="eastAsia"/>
        </w:rPr>
        <w:t>0</w:t>
      </w:r>
      <w:r>
        <w:t>.</w:t>
      </w:r>
      <w:r>
        <w:rPr>
          <w:rFonts w:hint="eastAsia"/>
        </w:rPr>
        <w:t>4-</w:t>
      </w:r>
      <w:r>
        <w:t>4</w:t>
      </w:r>
      <w:r>
        <w:t>）。</w:t>
      </w:r>
    </w:p>
    <w:p w:rsidR="00512332" w:rsidRDefault="00E80EF5">
      <w:pPr>
        <w:adjustRightInd w:val="0"/>
        <w:snapToGrid w:val="0"/>
        <w:spacing w:line="240" w:lineRule="auto"/>
        <w:ind w:firstLineChars="200" w:firstLine="600"/>
        <w:jc w:val="center"/>
        <w:rPr>
          <w:rFonts w:eastAsiaTheme="minorEastAsia"/>
          <w:color w:val="000000" w:themeColor="text1"/>
        </w:rPr>
      </w:pPr>
      <w:r>
        <w:rPr>
          <w:noProof/>
        </w:rPr>
        <w:drawing>
          <wp:inline distT="0" distB="0" distL="0" distR="0">
            <wp:extent cx="3928110" cy="1235710"/>
            <wp:effectExtent l="0" t="0" r="0" b="254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11" cstate="print"/>
                    <a:srcRect l="2039" t="9195" r="3265" b="6810"/>
                    <a:stretch>
                      <a:fillRect/>
                    </a:stretch>
                  </pic:blipFill>
                  <pic:spPr>
                    <a:xfrm>
                      <a:off x="0" y="0"/>
                      <a:ext cx="3932364" cy="1237339"/>
                    </a:xfrm>
                    <a:prstGeom prst="rect">
                      <a:avLst/>
                    </a:prstGeom>
                    <a:ln>
                      <a:noFill/>
                    </a:ln>
                  </pic:spPr>
                </pic:pic>
              </a:graphicData>
            </a:graphic>
          </wp:inline>
        </w:drawing>
      </w:r>
    </w:p>
    <w:p w:rsidR="00512332" w:rsidRDefault="00E80EF5">
      <w:pPr>
        <w:adjustRightInd w:val="0"/>
        <w:snapToGrid w:val="0"/>
        <w:spacing w:line="320" w:lineRule="exact"/>
        <w:ind w:firstLineChars="200" w:firstLine="602"/>
        <w:jc w:val="center"/>
        <w:rPr>
          <w:rFonts w:eastAsiaTheme="minorEastAsia"/>
          <w:b/>
          <w:color w:val="000000" w:themeColor="text1"/>
          <w:szCs w:val="21"/>
        </w:rPr>
      </w:pPr>
      <w:r>
        <w:rPr>
          <w:rFonts w:eastAsiaTheme="minorEastAsia" w:hAnsiTheme="minorEastAsia"/>
          <w:b/>
          <w:color w:val="000000" w:themeColor="text1"/>
          <w:szCs w:val="21"/>
        </w:rPr>
        <w:t>图</w:t>
      </w:r>
      <w:r>
        <w:rPr>
          <w:rFonts w:eastAsiaTheme="minorEastAsia"/>
          <w:b/>
          <w:color w:val="000000" w:themeColor="text1"/>
          <w:szCs w:val="21"/>
        </w:rPr>
        <w:t>5.</w:t>
      </w:r>
      <w:r>
        <w:rPr>
          <w:rFonts w:eastAsiaTheme="minorEastAsia" w:hint="eastAsia"/>
          <w:b/>
          <w:color w:val="000000" w:themeColor="text1"/>
          <w:szCs w:val="21"/>
        </w:rPr>
        <w:t>0</w:t>
      </w:r>
      <w:r>
        <w:rPr>
          <w:rFonts w:eastAsiaTheme="minorEastAsia"/>
          <w:b/>
          <w:color w:val="000000" w:themeColor="text1"/>
          <w:szCs w:val="21"/>
        </w:rPr>
        <w:t>.</w:t>
      </w:r>
      <w:r>
        <w:rPr>
          <w:rFonts w:eastAsiaTheme="minorEastAsia" w:hint="eastAsia"/>
          <w:b/>
          <w:color w:val="000000" w:themeColor="text1"/>
          <w:szCs w:val="21"/>
        </w:rPr>
        <w:t>4-</w:t>
      </w:r>
      <w:r>
        <w:rPr>
          <w:rFonts w:eastAsiaTheme="minorEastAsia"/>
          <w:b/>
          <w:color w:val="000000" w:themeColor="text1"/>
          <w:szCs w:val="21"/>
        </w:rPr>
        <w:t>4</w:t>
      </w:r>
      <w:r>
        <w:rPr>
          <w:rFonts w:eastAsiaTheme="minorEastAsia" w:hAnsiTheme="minorEastAsia"/>
          <w:b/>
          <w:color w:val="000000" w:themeColor="text1"/>
          <w:szCs w:val="21"/>
        </w:rPr>
        <w:t>预制凸窗计算长度示意图</w:t>
      </w:r>
    </w:p>
    <w:p w:rsidR="00512332" w:rsidRDefault="00E80EF5">
      <w:pPr>
        <w:ind w:firstLineChars="188" w:firstLine="564"/>
      </w:pPr>
      <w:r>
        <w:t>5</w:t>
      </w:r>
      <w:r>
        <w:t>阳台（设备平台）采用预制（叠合）阳台（设备平台），预制（叠合）阳台（设备平台）预制外墙外表面积（</w:t>
      </w:r>
      <w:r w:rsidR="00512332">
        <w:object w:dxaOrig="218" w:dyaOrig="302">
          <v:shape id="_x0000_i1130" type="#_x0000_t75" style="width:10.5pt;height:15pt" o:ole="">
            <v:imagedata r:id="rId194" o:title=""/>
          </v:shape>
          <o:OLEObject Type="Embed" ProgID="Equation.AxMath" ShapeID="_x0000_i1130" DrawAspect="Content" ObjectID="_1606634925" r:id="rId212"/>
        </w:object>
      </w:r>
      <w:r>
        <w:t>）为预制（叠合）阳台（设备平台）的水平投影部分外围长度与层高之积（图</w:t>
      </w:r>
      <w:r>
        <w:t>5.</w:t>
      </w:r>
      <w:r>
        <w:rPr>
          <w:rFonts w:hint="eastAsia"/>
        </w:rPr>
        <w:t>0</w:t>
      </w:r>
      <w:r>
        <w:t>.</w:t>
      </w:r>
      <w:r>
        <w:rPr>
          <w:rFonts w:hint="eastAsia"/>
        </w:rPr>
        <w:t>4-</w:t>
      </w:r>
      <w:r>
        <w:t>5</w:t>
      </w:r>
      <w:r>
        <w:t>）。</w:t>
      </w:r>
    </w:p>
    <w:p w:rsidR="00512332" w:rsidRDefault="00E80EF5">
      <w:pPr>
        <w:spacing w:line="240" w:lineRule="auto"/>
        <w:ind w:firstLineChars="188" w:firstLine="564"/>
        <w:jc w:val="center"/>
      </w:pPr>
      <w:r>
        <w:rPr>
          <w:noProof/>
        </w:rPr>
        <w:drawing>
          <wp:inline distT="0" distB="0" distL="0" distR="0">
            <wp:extent cx="4029710" cy="1503045"/>
            <wp:effectExtent l="0" t="0" r="889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213" cstate="print"/>
                    <a:srcRect t="6867"/>
                    <a:stretch>
                      <a:fillRect/>
                    </a:stretch>
                  </pic:blipFill>
                  <pic:spPr>
                    <a:xfrm>
                      <a:off x="0" y="0"/>
                      <a:ext cx="4047878" cy="1509710"/>
                    </a:xfrm>
                    <a:prstGeom prst="rect">
                      <a:avLst/>
                    </a:prstGeom>
                    <a:ln>
                      <a:noFill/>
                    </a:ln>
                  </pic:spPr>
                </pic:pic>
              </a:graphicData>
            </a:graphic>
          </wp:inline>
        </w:drawing>
      </w:r>
    </w:p>
    <w:p w:rsidR="00512332" w:rsidRDefault="00E80EF5">
      <w:pPr>
        <w:adjustRightInd w:val="0"/>
        <w:snapToGrid w:val="0"/>
        <w:spacing w:line="320" w:lineRule="exact"/>
        <w:ind w:firstLineChars="200" w:firstLine="602"/>
        <w:jc w:val="center"/>
        <w:rPr>
          <w:rFonts w:eastAsiaTheme="minorEastAsia"/>
          <w:color w:val="000000" w:themeColor="text1"/>
        </w:rPr>
      </w:pPr>
      <w:r>
        <w:rPr>
          <w:rFonts w:eastAsiaTheme="minorEastAsia" w:hAnsiTheme="minorEastAsia"/>
          <w:b/>
          <w:color w:val="000000" w:themeColor="text1"/>
          <w:szCs w:val="21"/>
        </w:rPr>
        <w:t>图</w:t>
      </w:r>
      <w:r>
        <w:rPr>
          <w:rFonts w:eastAsiaTheme="minorEastAsia"/>
          <w:b/>
          <w:color w:val="000000" w:themeColor="text1"/>
          <w:szCs w:val="21"/>
        </w:rPr>
        <w:t>5.</w:t>
      </w:r>
      <w:r>
        <w:rPr>
          <w:rFonts w:eastAsiaTheme="minorEastAsia" w:hint="eastAsia"/>
          <w:b/>
          <w:color w:val="000000" w:themeColor="text1"/>
          <w:szCs w:val="21"/>
        </w:rPr>
        <w:t>0</w:t>
      </w:r>
      <w:r>
        <w:rPr>
          <w:rFonts w:eastAsiaTheme="minorEastAsia"/>
          <w:b/>
          <w:color w:val="000000" w:themeColor="text1"/>
          <w:szCs w:val="21"/>
        </w:rPr>
        <w:t>.</w:t>
      </w:r>
      <w:r>
        <w:rPr>
          <w:rFonts w:eastAsiaTheme="minorEastAsia" w:hint="eastAsia"/>
          <w:b/>
          <w:color w:val="000000" w:themeColor="text1"/>
          <w:szCs w:val="21"/>
        </w:rPr>
        <w:t>4-</w:t>
      </w:r>
      <w:r>
        <w:rPr>
          <w:rFonts w:eastAsiaTheme="minorEastAsia"/>
          <w:b/>
          <w:color w:val="000000" w:themeColor="text1"/>
          <w:szCs w:val="21"/>
        </w:rPr>
        <w:t>5</w:t>
      </w:r>
      <w:r>
        <w:rPr>
          <w:rFonts w:eastAsiaTheme="minorEastAsia" w:hAnsiTheme="minorEastAsia"/>
          <w:b/>
          <w:color w:val="000000" w:themeColor="text1"/>
          <w:szCs w:val="21"/>
        </w:rPr>
        <w:t>预制阳台（露台、设备平台）计算长度示意图</w:t>
      </w:r>
    </w:p>
    <w:p w:rsidR="00512332" w:rsidRDefault="00E80EF5">
      <w:pPr>
        <w:adjustRightInd w:val="0"/>
        <w:snapToGrid w:val="0"/>
        <w:ind w:firstLineChars="200" w:firstLine="600"/>
      </w:pPr>
      <w:r>
        <w:t>6</w:t>
      </w:r>
      <w:r>
        <w:t>阳台、设备平台、连廊等部位采用预制梁、预制装饰柱等局部预制构件时，只计算局部预制构件的实际外表面积。</w:t>
      </w:r>
      <w:r>
        <w:t xml:space="preserve">  </w:t>
      </w:r>
    </w:p>
    <w:p w:rsidR="00512332" w:rsidRDefault="00E80EF5">
      <w:pPr>
        <w:adjustRightInd w:val="0"/>
        <w:snapToGrid w:val="0"/>
        <w:ind w:firstLineChars="200" w:firstLine="600"/>
      </w:pPr>
      <w:r>
        <w:t>7</w:t>
      </w:r>
      <w:r>
        <w:rPr>
          <w:rFonts w:hint="eastAsia"/>
        </w:rPr>
        <w:t>连廊部位采用叠合板构件布置，连廊部位预制外墙外表面积（</w:t>
      </w:r>
      <w:r w:rsidR="00512332">
        <w:object w:dxaOrig="218" w:dyaOrig="302">
          <v:shape id="_x0000_i1131" type="#_x0000_t75" style="width:10.5pt;height:15pt" o:ole="">
            <v:imagedata r:id="rId194" o:title=""/>
          </v:shape>
          <o:OLEObject Type="Embed" ProgID="Equation.AxMath" ShapeID="_x0000_i1131" DrawAspect="Content" ObjectID="_1606634926" r:id="rId214"/>
        </w:object>
      </w:r>
      <w:r>
        <w:rPr>
          <w:rFonts w:hint="eastAsia"/>
        </w:rPr>
        <w:t>）为连廊部位的水平投影部分外围长度与层高之积（</w:t>
      </w:r>
      <w:r>
        <w:t>图</w:t>
      </w:r>
      <w:r>
        <w:t>5.</w:t>
      </w:r>
      <w:r>
        <w:rPr>
          <w:rFonts w:hint="eastAsia"/>
        </w:rPr>
        <w:t>0</w:t>
      </w:r>
      <w:r>
        <w:t>.</w:t>
      </w:r>
      <w:r>
        <w:rPr>
          <w:rFonts w:hint="eastAsia"/>
        </w:rPr>
        <w:t>4-</w:t>
      </w:r>
      <w:r>
        <w:t>5</w:t>
      </w:r>
      <w:r>
        <w:rPr>
          <w:rFonts w:hint="eastAsia"/>
        </w:rPr>
        <w:t>）。</w:t>
      </w:r>
    </w:p>
    <w:p w:rsidR="00512332" w:rsidRDefault="00E80EF5">
      <w:pPr>
        <w:adjustRightInd w:val="0"/>
        <w:snapToGrid w:val="0"/>
        <w:ind w:firstLineChars="200" w:firstLine="600"/>
      </w:pPr>
      <w:r>
        <w:t>8</w:t>
      </w:r>
      <w:r>
        <w:t>采用幕墙系统的建筑外墙，建筑幕墙部分不计入预制外墙外表面积（</w:t>
      </w:r>
      <w:r w:rsidR="00512332">
        <w:object w:dxaOrig="218" w:dyaOrig="302">
          <v:shape id="_x0000_i1132" type="#_x0000_t75" style="width:10.5pt;height:15pt" o:ole="">
            <v:imagedata r:id="rId194" o:title=""/>
          </v:shape>
          <o:OLEObject Type="Embed" ProgID="Equation.AxMath" ShapeID="_x0000_i1132" DrawAspect="Content" ObjectID="_1606634927" r:id="rId215"/>
        </w:object>
      </w:r>
      <w:r>
        <w:t>）。</w:t>
      </w:r>
    </w:p>
    <w:p w:rsidR="00512332" w:rsidRDefault="00E80EF5">
      <w:pPr>
        <w:adjustRightInd w:val="0"/>
        <w:snapToGrid w:val="0"/>
        <w:ind w:firstLineChars="200" w:firstLine="600"/>
      </w:pPr>
      <w:r>
        <w:t>9</w:t>
      </w:r>
      <w:r>
        <w:rPr>
          <w:rFonts w:hint="eastAsia"/>
        </w:rPr>
        <w:t>柱、剪力墙等竖向承重构件，采用预制构件并符合下列规定时，其后浇连接段现浇混凝土可计入预制外墙外表面积</w:t>
      </w:r>
      <w:r>
        <w:t>（</w:t>
      </w:r>
      <w:r w:rsidR="00512332">
        <w:object w:dxaOrig="218" w:dyaOrig="302">
          <v:shape id="_x0000_i1133" type="#_x0000_t75" style="width:10.5pt;height:15pt" o:ole="">
            <v:imagedata r:id="rId194" o:title=""/>
          </v:shape>
          <o:OLEObject Type="Embed" ProgID="Equation.AxMath" ShapeID="_x0000_i1133" DrawAspect="Content" ObjectID="_1606634928" r:id="rId216"/>
        </w:object>
      </w:r>
      <w:r>
        <w:t>）；</w:t>
      </w:r>
    </w:p>
    <w:p w:rsidR="00512332" w:rsidRDefault="00E80EF5">
      <w:pPr>
        <w:adjustRightInd w:val="0"/>
        <w:snapToGrid w:val="0"/>
        <w:ind w:firstLineChars="200" w:firstLine="600"/>
      </w:pPr>
      <w:r>
        <w:rPr>
          <w:rFonts w:hint="eastAsia"/>
        </w:rPr>
        <w:t>对于剪力墙结构，预制剪力墙板之间宽度不大于</w:t>
      </w:r>
      <w:r>
        <w:rPr>
          <w:rFonts w:hint="eastAsia"/>
        </w:rPr>
        <w:t>600mm</w:t>
      </w:r>
      <w:r>
        <w:rPr>
          <w:rFonts w:hint="eastAsia"/>
        </w:rPr>
        <w:t>的竖向现浇混凝土外墙的外表面积可计入预制外墙外表面积（</w:t>
      </w:r>
      <w:r w:rsidR="00512332">
        <w:object w:dxaOrig="218" w:dyaOrig="302">
          <v:shape id="_x0000_i1134" type="#_x0000_t75" style="width:10.5pt;height:15pt" o:ole="">
            <v:imagedata r:id="rId194" o:title=""/>
          </v:shape>
          <o:OLEObject Type="Embed" ProgID="Equation.AxMath" ShapeID="_x0000_i1134" DrawAspect="Content" ObjectID="_1606634929" r:id="rId217"/>
        </w:object>
      </w:r>
      <w:r>
        <w:rPr>
          <w:rFonts w:hint="eastAsia"/>
        </w:rPr>
        <w:t>）。预制剪力墙板布置区域的水平现浇带（圈梁）部分现浇混凝土外墙的外表面积可计入预制外墙外表面积（</w:t>
      </w:r>
      <w:r w:rsidR="00512332">
        <w:object w:dxaOrig="218" w:dyaOrig="302">
          <v:shape id="_x0000_i1135" type="#_x0000_t75" style="width:10.5pt;height:15pt" o:ole="">
            <v:imagedata r:id="rId194" o:title=""/>
          </v:shape>
          <o:OLEObject Type="Embed" ProgID="Equation.AxMath" ShapeID="_x0000_i1135" DrawAspect="Content" ObjectID="_1606634930" r:id="rId218"/>
        </w:object>
      </w:r>
      <w:r>
        <w:rPr>
          <w:rFonts w:hint="eastAsia"/>
        </w:rPr>
        <w:t>）；</w:t>
      </w:r>
    </w:p>
    <w:p w:rsidR="00512332" w:rsidRDefault="00E80EF5">
      <w:pPr>
        <w:adjustRightInd w:val="0"/>
        <w:snapToGrid w:val="0"/>
        <w:ind w:firstLineChars="200" w:firstLine="600"/>
      </w:pPr>
      <w:r>
        <w:rPr>
          <w:rFonts w:hint="eastAsia"/>
        </w:rPr>
        <w:t>对于框架结构，预制框架柱在梁柱节点区连接时，梁柱节点区的现浇混凝土外墙的外表面积可计入预制外墙外表面积（</w:t>
      </w:r>
      <w:r w:rsidR="00512332">
        <w:object w:dxaOrig="218" w:dyaOrig="302">
          <v:shape id="_x0000_i1136" type="#_x0000_t75" style="width:10.5pt;height:15pt" o:ole="">
            <v:imagedata r:id="rId194" o:title=""/>
          </v:shape>
          <o:OLEObject Type="Embed" ProgID="Equation.AxMath" ShapeID="_x0000_i1136" DrawAspect="Content" ObjectID="_1606634931" r:id="rId219"/>
        </w:object>
      </w:r>
      <w:r>
        <w:rPr>
          <w:rFonts w:hint="eastAsia"/>
        </w:rPr>
        <w:t>）。预制框架柱在柱身范围内连接时，连接区长度尺寸不大于柱截面宽度和高度的较小值时，连接区现浇混凝土外墙的外表面积可计入预制外墙外表面积（</w:t>
      </w:r>
      <w:r w:rsidR="00512332">
        <w:object w:dxaOrig="218" w:dyaOrig="302">
          <v:shape id="_x0000_i1137" type="#_x0000_t75" style="width:10.5pt;height:15pt" o:ole="">
            <v:imagedata r:id="rId194" o:title=""/>
          </v:shape>
          <o:OLEObject Type="Embed" ProgID="Equation.AxMath" ShapeID="_x0000_i1137" DrawAspect="Content" ObjectID="_1606634932" r:id="rId220"/>
        </w:object>
      </w:r>
      <w:r>
        <w:rPr>
          <w:rFonts w:hint="eastAsia"/>
        </w:rPr>
        <w:t>）。</w:t>
      </w:r>
    </w:p>
    <w:p w:rsidR="00512332" w:rsidRDefault="00E80EF5">
      <w:pPr>
        <w:adjustRightInd w:val="0"/>
        <w:snapToGrid w:val="0"/>
      </w:pPr>
      <w:r>
        <w:rPr>
          <w:rFonts w:hint="eastAsia"/>
        </w:rPr>
        <w:t xml:space="preserve">   </w:t>
      </w:r>
      <w:r>
        <w:t xml:space="preserve"> 10</w:t>
      </w:r>
      <w:r>
        <w:t>非承重混凝土墙板之间采用构造柱连接时，构造柱的长度（长</w:t>
      </w:r>
      <w:r>
        <w:lastRenderedPageBreak/>
        <w:t>度按墙轴线计算）不大于</w:t>
      </w:r>
      <w:r>
        <w:t>400mm</w:t>
      </w:r>
      <w:r>
        <w:t>时，该现浇部分外墙的外表面积可计入</w:t>
      </w:r>
      <w:r>
        <w:t>预制外墙外表面积（</w:t>
      </w:r>
      <w:r w:rsidR="00512332">
        <w:object w:dxaOrig="218" w:dyaOrig="302">
          <v:shape id="_x0000_i1138" type="#_x0000_t75" style="width:10.5pt;height:15pt" o:ole="">
            <v:imagedata r:id="rId194" o:title=""/>
          </v:shape>
          <o:OLEObject Type="Embed" ProgID="Equation.AxMath" ShapeID="_x0000_i1138" DrawAspect="Content" ObjectID="_1606634933" r:id="rId221"/>
        </w:object>
      </w:r>
      <w:r>
        <w:t>）。</w:t>
      </w:r>
    </w:p>
    <w:p w:rsidR="00512332" w:rsidRDefault="00512332">
      <w:pPr>
        <w:adjustRightInd w:val="0"/>
        <w:snapToGrid w:val="0"/>
        <w:rPr>
          <w:rFonts w:asciiTheme="minorEastAsia" w:eastAsiaTheme="minorEastAsia" w:hAnsiTheme="minorEastAsia"/>
          <w:b/>
          <w:color w:val="000000" w:themeColor="text1"/>
        </w:rPr>
      </w:pPr>
    </w:p>
    <w:p w:rsidR="00512332" w:rsidRDefault="00512332">
      <w:pPr>
        <w:pStyle w:val="4"/>
        <w:wordWrap/>
        <w:spacing w:before="120"/>
        <w:rPr>
          <w:b/>
        </w:rPr>
      </w:pPr>
    </w:p>
    <w:p w:rsidR="00512332" w:rsidRDefault="00512332">
      <w:pPr>
        <w:ind w:firstLineChars="200" w:firstLine="600"/>
        <w:rPr>
          <w:bCs/>
          <w:szCs w:val="30"/>
        </w:rPr>
        <w:sectPr w:rsidR="00512332">
          <w:headerReference w:type="default" r:id="rId222"/>
          <w:pgSz w:w="11906" w:h="16838"/>
          <w:pgMar w:top="1440" w:right="1474" w:bottom="1440" w:left="1474" w:header="851" w:footer="992" w:gutter="0"/>
          <w:cols w:space="425"/>
          <w:docGrid w:linePitch="312"/>
        </w:sectPr>
      </w:pPr>
    </w:p>
    <w:p w:rsidR="00512332" w:rsidRDefault="00E80EF5">
      <w:pPr>
        <w:pStyle w:val="2"/>
        <w:spacing w:after="600" w:line="400" w:lineRule="exact"/>
        <w:ind w:firstLine="643"/>
        <w:jc w:val="center"/>
        <w:rPr>
          <w:szCs w:val="28"/>
        </w:rPr>
      </w:pPr>
      <w:bookmarkStart w:id="54" w:name="_Toc532848525"/>
      <w:bookmarkStart w:id="55" w:name="_Toc532848600"/>
      <w:bookmarkEnd w:id="48"/>
      <w:r>
        <w:rPr>
          <w:rFonts w:ascii="Times New Roman" w:eastAsia="宋体" w:hAnsi="Times New Roman"/>
        </w:rPr>
        <w:lastRenderedPageBreak/>
        <w:t xml:space="preserve">6  </w:t>
      </w:r>
      <w:bookmarkStart w:id="56" w:name="_Toc231009975"/>
      <w:bookmarkStart w:id="57" w:name="_Toc431905681"/>
      <w:bookmarkStart w:id="58" w:name="_Toc232563213"/>
      <w:bookmarkStart w:id="59" w:name="_Toc250383302"/>
      <w:bookmarkStart w:id="60" w:name="_Toc248809024"/>
      <w:r>
        <w:rPr>
          <w:rFonts w:ascii="Times New Roman" w:eastAsia="宋体" w:hAnsi="Times New Roman" w:hint="eastAsia"/>
        </w:rPr>
        <w:t>预制外墙建筑面积计算</w:t>
      </w:r>
      <w:bookmarkEnd w:id="54"/>
      <w:bookmarkEnd w:id="55"/>
      <w:bookmarkEnd w:id="56"/>
      <w:bookmarkEnd w:id="57"/>
      <w:bookmarkEnd w:id="58"/>
      <w:bookmarkEnd w:id="59"/>
      <w:bookmarkEnd w:id="60"/>
    </w:p>
    <w:p w:rsidR="00512332" w:rsidRDefault="00E80EF5">
      <w:pPr>
        <w:pStyle w:val="4"/>
        <w:spacing w:before="120"/>
      </w:pPr>
      <w:r>
        <w:rPr>
          <w:b/>
        </w:rPr>
        <w:t xml:space="preserve">6.1.1 </w:t>
      </w:r>
      <w:r>
        <w:t>建筑设计应按照被动措施优先的原则，优化建筑形体和空间布局，充分利用天然采光、自然通风等自然资源，采取围护结构保温、隔热、遮阳等措施，降低建筑的用能需求。</w:t>
      </w:r>
    </w:p>
    <w:p w:rsidR="00512332" w:rsidRDefault="00E80EF5">
      <w:pPr>
        <w:pStyle w:val="4"/>
        <w:spacing w:before="120"/>
      </w:pPr>
      <w:r>
        <w:rPr>
          <w:rFonts w:hint="eastAsia"/>
          <w:b/>
        </w:rPr>
        <w:t>6.0</w:t>
      </w:r>
      <w:r>
        <w:rPr>
          <w:b/>
        </w:rPr>
        <w:t>.1</w:t>
      </w:r>
      <w:r>
        <w:rPr>
          <w:rFonts w:hint="eastAsia"/>
        </w:rPr>
        <w:t>装配式混凝土建筑单体的预制外墙建筑面积不计入容积率，但超过该单体±</w:t>
      </w:r>
      <w:r>
        <w:rPr>
          <w:rFonts w:hint="eastAsia"/>
        </w:rPr>
        <w:t>0.000</w:t>
      </w:r>
      <w:r>
        <w:rPr>
          <w:rFonts w:hint="eastAsia"/>
        </w:rPr>
        <w:t>以上计容面积</w:t>
      </w:r>
      <w:r>
        <w:rPr>
          <w:rFonts w:hint="eastAsia"/>
        </w:rPr>
        <w:t>3%</w:t>
      </w:r>
      <w:r>
        <w:rPr>
          <w:rFonts w:hint="eastAsia"/>
        </w:rPr>
        <w:t>的，超过部分计入容积率。</w:t>
      </w:r>
    </w:p>
    <w:p w:rsidR="00512332" w:rsidRDefault="00E80EF5">
      <w:pPr>
        <w:pStyle w:val="4"/>
        <w:spacing w:before="120"/>
      </w:pPr>
      <w:r>
        <w:rPr>
          <w:rFonts w:hint="eastAsia"/>
          <w:b/>
        </w:rPr>
        <w:t>6.0</w:t>
      </w:r>
      <w:r>
        <w:rPr>
          <w:b/>
        </w:rPr>
        <w:t>.2</w:t>
      </w:r>
      <w:r>
        <w:t>预制外墙建筑面积应在装配式混凝土建筑设计评审文件的技术经济指标表中明确列出，具体表示方法如表</w:t>
      </w:r>
      <w:r>
        <w:t>6.</w:t>
      </w:r>
      <w:r>
        <w:rPr>
          <w:rFonts w:hint="eastAsia"/>
        </w:rPr>
        <w:t>0</w:t>
      </w:r>
      <w:r>
        <w:t>.2</w:t>
      </w:r>
      <w:r>
        <w:t>所示。其中，计容面积为项目规划条件中明确的计容面积，预制外墙建筑面积按照本《细则》的计算规定计算且不应超过装配式混凝土建筑单体</w:t>
      </w:r>
      <w:r>
        <w:t>±0.000</w:t>
      </w:r>
      <w:r>
        <w:t>以上地面计容面积</w:t>
      </w:r>
      <w:r>
        <w:t>3%</w:t>
      </w:r>
      <w:r>
        <w:t>。</w:t>
      </w:r>
    </w:p>
    <w:p w:rsidR="00512332" w:rsidRDefault="00E80EF5">
      <w:pPr>
        <w:jc w:val="center"/>
        <w:rPr>
          <w:rFonts w:eastAsiaTheme="minorEastAsia"/>
          <w:color w:val="000000" w:themeColor="text1"/>
          <w:sz w:val="28"/>
          <w:szCs w:val="28"/>
        </w:rPr>
      </w:pPr>
      <w:r>
        <w:rPr>
          <w:rFonts w:eastAsiaTheme="minorEastAsia" w:hAnsiTheme="minorEastAsia"/>
          <w:b/>
          <w:color w:val="000000" w:themeColor="text1"/>
          <w:sz w:val="28"/>
          <w:szCs w:val="28"/>
        </w:rPr>
        <w:t>表</w:t>
      </w:r>
      <w:r>
        <w:rPr>
          <w:rFonts w:eastAsiaTheme="minorEastAsia"/>
          <w:b/>
          <w:color w:val="000000" w:themeColor="text1"/>
          <w:sz w:val="28"/>
          <w:szCs w:val="28"/>
        </w:rPr>
        <w:t>6.</w:t>
      </w:r>
      <w:r>
        <w:rPr>
          <w:rFonts w:eastAsiaTheme="minorEastAsia" w:hint="eastAsia"/>
          <w:b/>
          <w:color w:val="000000" w:themeColor="text1"/>
          <w:sz w:val="28"/>
          <w:szCs w:val="28"/>
        </w:rPr>
        <w:t>0</w:t>
      </w:r>
      <w:r>
        <w:rPr>
          <w:rFonts w:eastAsiaTheme="minorEastAsia"/>
          <w:b/>
          <w:color w:val="000000" w:themeColor="text1"/>
          <w:sz w:val="28"/>
          <w:szCs w:val="28"/>
        </w:rPr>
        <w:t>.2</w:t>
      </w:r>
      <w:r>
        <w:rPr>
          <w:rFonts w:eastAsiaTheme="minorEastAsia" w:hAnsiTheme="minorEastAsia"/>
          <w:b/>
          <w:color w:val="000000" w:themeColor="text1"/>
          <w:sz w:val="28"/>
          <w:szCs w:val="28"/>
        </w:rPr>
        <w:t>技术经济指标表示方法</w:t>
      </w:r>
    </w:p>
    <w:tbl>
      <w:tblPr>
        <w:tblStyle w:val="afa"/>
        <w:tblW w:w="8250" w:type="dxa"/>
        <w:jc w:val="center"/>
        <w:tblInd w:w="-5278" w:type="dxa"/>
        <w:tblLayout w:type="fixed"/>
        <w:tblLook w:val="04A0"/>
      </w:tblPr>
      <w:tblGrid>
        <w:gridCol w:w="3402"/>
        <w:gridCol w:w="2775"/>
        <w:gridCol w:w="2073"/>
      </w:tblGrid>
      <w:tr w:rsidR="00512332">
        <w:trPr>
          <w:jc w:val="center"/>
        </w:trPr>
        <w:tc>
          <w:tcPr>
            <w:tcW w:w="3402" w:type="dxa"/>
            <w:vMerge w:val="restart"/>
            <w:tcBorders>
              <w:top w:val="single" w:sz="12" w:space="0" w:color="auto"/>
              <w:left w:val="single" w:sz="12" w:space="0" w:color="auto"/>
            </w:tcBorders>
            <w:vAlign w:val="center"/>
          </w:tcPr>
          <w:p w:rsidR="00512332" w:rsidRDefault="00E80EF5">
            <w:pPr>
              <w:adjustRightInd w:val="0"/>
              <w:snapToGrid w:val="0"/>
              <w:jc w:val="center"/>
              <w:rPr>
                <w:rFonts w:eastAsiaTheme="minorEastAsia"/>
                <w:color w:val="000000" w:themeColor="text1"/>
                <w:sz w:val="28"/>
                <w:szCs w:val="28"/>
              </w:rPr>
            </w:pPr>
            <w:r>
              <w:rPr>
                <w:rFonts w:eastAsiaTheme="minorEastAsia" w:hint="eastAsia"/>
                <w:color w:val="000000" w:themeColor="text1"/>
                <w:sz w:val="28"/>
                <w:szCs w:val="28"/>
              </w:rPr>
              <w:t>指标</w:t>
            </w:r>
          </w:p>
        </w:tc>
        <w:tc>
          <w:tcPr>
            <w:tcW w:w="2775" w:type="dxa"/>
            <w:tcBorders>
              <w:top w:val="single" w:sz="12" w:space="0" w:color="auto"/>
            </w:tcBorders>
          </w:tcPr>
          <w:p w:rsidR="00512332" w:rsidRDefault="00E80EF5">
            <w:pPr>
              <w:adjustRightInd w:val="0"/>
              <w:snapToGrid w:val="0"/>
              <w:rPr>
                <w:rFonts w:eastAsiaTheme="minorEastAsia"/>
                <w:color w:val="000000" w:themeColor="text1"/>
                <w:sz w:val="28"/>
                <w:szCs w:val="28"/>
              </w:rPr>
            </w:pPr>
            <w:r>
              <w:rPr>
                <w:rFonts w:eastAsiaTheme="minorEastAsia" w:hAnsiTheme="minorEastAsia"/>
                <w:color w:val="000000" w:themeColor="text1"/>
                <w:sz w:val="28"/>
                <w:szCs w:val="28"/>
              </w:rPr>
              <w:t>计容面积</w:t>
            </w:r>
          </w:p>
        </w:tc>
        <w:tc>
          <w:tcPr>
            <w:tcW w:w="2073" w:type="dxa"/>
            <w:tcBorders>
              <w:top w:val="single" w:sz="12" w:space="0" w:color="auto"/>
              <w:right w:val="single" w:sz="12" w:space="0" w:color="auto"/>
            </w:tcBorders>
          </w:tcPr>
          <w:p w:rsidR="00512332" w:rsidRDefault="00E80EF5">
            <w:pPr>
              <w:adjustRightInd w:val="0"/>
              <w:snapToGrid w:val="0"/>
              <w:rPr>
                <w:rFonts w:eastAsiaTheme="minorEastAsia"/>
                <w:color w:val="000000" w:themeColor="text1"/>
                <w:sz w:val="28"/>
                <w:szCs w:val="28"/>
              </w:rPr>
            </w:pPr>
            <w:r>
              <w:rPr>
                <w:rFonts w:eastAsiaTheme="minorEastAsia"/>
                <w:color w:val="000000" w:themeColor="text1"/>
                <w:sz w:val="28"/>
                <w:szCs w:val="28"/>
              </w:rPr>
              <w:t>XXX</w:t>
            </w:r>
            <w:r>
              <w:rPr>
                <w:rFonts w:eastAsiaTheme="minorEastAsia" w:hAnsiTheme="minorEastAsia"/>
                <w:color w:val="000000" w:themeColor="text1"/>
                <w:sz w:val="28"/>
                <w:szCs w:val="28"/>
              </w:rPr>
              <w:t>平方米</w:t>
            </w:r>
          </w:p>
        </w:tc>
      </w:tr>
      <w:tr w:rsidR="00512332">
        <w:trPr>
          <w:jc w:val="center"/>
        </w:trPr>
        <w:tc>
          <w:tcPr>
            <w:tcW w:w="3402" w:type="dxa"/>
            <w:vMerge/>
            <w:tcBorders>
              <w:left w:val="single" w:sz="12" w:space="0" w:color="auto"/>
            </w:tcBorders>
          </w:tcPr>
          <w:p w:rsidR="00512332" w:rsidRDefault="00512332">
            <w:pPr>
              <w:adjustRightInd w:val="0"/>
              <w:snapToGrid w:val="0"/>
              <w:jc w:val="center"/>
              <w:rPr>
                <w:rFonts w:eastAsiaTheme="minorEastAsia"/>
                <w:color w:val="000000" w:themeColor="text1"/>
                <w:sz w:val="28"/>
                <w:szCs w:val="28"/>
              </w:rPr>
            </w:pPr>
          </w:p>
        </w:tc>
        <w:tc>
          <w:tcPr>
            <w:tcW w:w="2775" w:type="dxa"/>
          </w:tcPr>
          <w:p w:rsidR="00512332" w:rsidRDefault="00E80EF5">
            <w:pPr>
              <w:adjustRightInd w:val="0"/>
              <w:snapToGrid w:val="0"/>
              <w:rPr>
                <w:rFonts w:eastAsiaTheme="minorEastAsia"/>
                <w:color w:val="000000" w:themeColor="text1"/>
                <w:sz w:val="28"/>
                <w:szCs w:val="28"/>
              </w:rPr>
            </w:pPr>
            <w:r>
              <w:rPr>
                <w:rFonts w:eastAsiaTheme="minorEastAsia" w:hAnsiTheme="minorEastAsia"/>
                <w:color w:val="000000" w:themeColor="text1"/>
                <w:sz w:val="28"/>
                <w:szCs w:val="28"/>
              </w:rPr>
              <w:t>预制外墙建筑面积</w:t>
            </w:r>
          </w:p>
        </w:tc>
        <w:tc>
          <w:tcPr>
            <w:tcW w:w="2073" w:type="dxa"/>
            <w:tcBorders>
              <w:right w:val="single" w:sz="12" w:space="0" w:color="auto"/>
            </w:tcBorders>
          </w:tcPr>
          <w:p w:rsidR="00512332" w:rsidRDefault="00E80EF5">
            <w:pPr>
              <w:adjustRightInd w:val="0"/>
              <w:snapToGrid w:val="0"/>
              <w:rPr>
                <w:rFonts w:eastAsiaTheme="minorEastAsia"/>
                <w:color w:val="000000" w:themeColor="text1"/>
                <w:sz w:val="28"/>
                <w:szCs w:val="28"/>
              </w:rPr>
            </w:pPr>
            <w:r>
              <w:rPr>
                <w:rFonts w:eastAsiaTheme="minorEastAsia"/>
                <w:color w:val="000000" w:themeColor="text1"/>
                <w:sz w:val="28"/>
                <w:szCs w:val="28"/>
              </w:rPr>
              <w:t>XXX</w:t>
            </w:r>
            <w:r>
              <w:rPr>
                <w:rFonts w:eastAsiaTheme="minorEastAsia" w:hAnsiTheme="minorEastAsia"/>
                <w:color w:val="000000" w:themeColor="text1"/>
                <w:sz w:val="28"/>
                <w:szCs w:val="28"/>
              </w:rPr>
              <w:t>平方米</w:t>
            </w:r>
          </w:p>
        </w:tc>
      </w:tr>
      <w:tr w:rsidR="00512332">
        <w:trPr>
          <w:jc w:val="center"/>
        </w:trPr>
        <w:tc>
          <w:tcPr>
            <w:tcW w:w="6177" w:type="dxa"/>
            <w:gridSpan w:val="2"/>
            <w:tcBorders>
              <w:left w:val="single" w:sz="12" w:space="0" w:color="auto"/>
              <w:bottom w:val="single" w:sz="12" w:space="0" w:color="auto"/>
            </w:tcBorders>
          </w:tcPr>
          <w:p w:rsidR="00512332" w:rsidRDefault="00E80EF5">
            <w:pPr>
              <w:adjustRightInd w:val="0"/>
              <w:snapToGrid w:val="0"/>
              <w:jc w:val="center"/>
              <w:rPr>
                <w:rFonts w:eastAsiaTheme="minorEastAsia"/>
                <w:color w:val="000000" w:themeColor="text1"/>
                <w:sz w:val="28"/>
                <w:szCs w:val="28"/>
              </w:rPr>
            </w:pPr>
            <w:r>
              <w:rPr>
                <w:rFonts w:eastAsiaTheme="minorEastAsia" w:hAnsiTheme="minorEastAsia"/>
                <w:color w:val="000000" w:themeColor="text1"/>
                <w:sz w:val="28"/>
                <w:szCs w:val="28"/>
              </w:rPr>
              <w:t>总计</w:t>
            </w:r>
          </w:p>
        </w:tc>
        <w:tc>
          <w:tcPr>
            <w:tcW w:w="2073" w:type="dxa"/>
            <w:tcBorders>
              <w:bottom w:val="single" w:sz="12" w:space="0" w:color="auto"/>
              <w:right w:val="single" w:sz="12" w:space="0" w:color="auto"/>
            </w:tcBorders>
          </w:tcPr>
          <w:p w:rsidR="00512332" w:rsidRDefault="00E80EF5">
            <w:pPr>
              <w:adjustRightInd w:val="0"/>
              <w:snapToGrid w:val="0"/>
              <w:rPr>
                <w:rFonts w:eastAsiaTheme="minorEastAsia"/>
                <w:color w:val="000000" w:themeColor="text1"/>
                <w:sz w:val="28"/>
                <w:szCs w:val="28"/>
              </w:rPr>
            </w:pPr>
            <w:r>
              <w:rPr>
                <w:rFonts w:eastAsiaTheme="minorEastAsia"/>
                <w:color w:val="000000" w:themeColor="text1"/>
                <w:sz w:val="28"/>
                <w:szCs w:val="28"/>
              </w:rPr>
              <w:t>XXX</w:t>
            </w:r>
            <w:r>
              <w:rPr>
                <w:rFonts w:eastAsiaTheme="minorEastAsia" w:hAnsiTheme="minorEastAsia"/>
                <w:color w:val="000000" w:themeColor="text1"/>
                <w:sz w:val="28"/>
                <w:szCs w:val="28"/>
              </w:rPr>
              <w:t>平方米</w:t>
            </w:r>
          </w:p>
        </w:tc>
      </w:tr>
    </w:tbl>
    <w:p w:rsidR="00512332" w:rsidRDefault="00E80EF5">
      <w:pPr>
        <w:pStyle w:val="4"/>
        <w:spacing w:before="120"/>
        <w:rPr>
          <w:color w:val="000000" w:themeColor="text1"/>
        </w:rPr>
      </w:pPr>
      <w:r>
        <w:rPr>
          <w:rFonts w:hint="eastAsia"/>
          <w:b/>
          <w:color w:val="000000" w:themeColor="text1"/>
        </w:rPr>
        <w:t>6.0.3</w:t>
      </w:r>
      <w:r>
        <w:t>预制外墙建筑面积应按照预制外墙的水平投影面积计算，并应符合《浙江省房屋建筑面积测算实施细则》中建筑面积的计算规定。</w:t>
      </w:r>
    </w:p>
    <w:p w:rsidR="00512332" w:rsidRDefault="00E80EF5">
      <w:pPr>
        <w:pStyle w:val="4"/>
        <w:spacing w:before="120"/>
        <w:rPr>
          <w:color w:val="000000" w:themeColor="text1"/>
        </w:rPr>
      </w:pPr>
      <w:r>
        <w:rPr>
          <w:rFonts w:hint="eastAsia"/>
          <w:b/>
          <w:color w:val="000000" w:themeColor="text1"/>
        </w:rPr>
        <w:t>6.0.4</w:t>
      </w:r>
      <w:r>
        <w:rPr>
          <w:rFonts w:hAnsiTheme="minorEastAsia"/>
          <w:color w:val="000000" w:themeColor="text1"/>
        </w:rPr>
        <w:t>内嵌式预制外墙建筑面积按照本《细则》的计算规定计算，外挂式预制外墙的预制部分计入预制外墙建筑面积（图</w:t>
      </w:r>
      <w:r>
        <w:rPr>
          <w:color w:val="000000" w:themeColor="text1"/>
        </w:rPr>
        <w:t>6.</w:t>
      </w:r>
      <w:r>
        <w:rPr>
          <w:rFonts w:hint="eastAsia"/>
          <w:color w:val="000000" w:themeColor="text1"/>
        </w:rPr>
        <w:t>0</w:t>
      </w:r>
      <w:r>
        <w:rPr>
          <w:color w:val="000000" w:themeColor="text1"/>
        </w:rPr>
        <w:t>.</w:t>
      </w:r>
      <w:r>
        <w:rPr>
          <w:rFonts w:hint="eastAsia"/>
          <w:color w:val="000000" w:themeColor="text1"/>
        </w:rPr>
        <w:t>4-</w:t>
      </w:r>
      <w:r>
        <w:rPr>
          <w:color w:val="000000" w:themeColor="text1"/>
        </w:rPr>
        <w:t>1</w:t>
      </w:r>
      <w:r>
        <w:rPr>
          <w:rFonts w:hAnsiTheme="minorEastAsia"/>
          <w:color w:val="000000" w:themeColor="text1"/>
        </w:rPr>
        <w:t>），嵌挂结合预制外墙的预制部分计入预制外墙建筑面积（图</w:t>
      </w:r>
      <w:r>
        <w:rPr>
          <w:color w:val="000000" w:themeColor="text1"/>
        </w:rPr>
        <w:t>6.</w:t>
      </w:r>
      <w:r>
        <w:rPr>
          <w:rFonts w:hint="eastAsia"/>
          <w:color w:val="000000" w:themeColor="text1"/>
        </w:rPr>
        <w:t>0</w:t>
      </w:r>
      <w:r>
        <w:rPr>
          <w:color w:val="000000" w:themeColor="text1"/>
        </w:rPr>
        <w:t>.</w:t>
      </w:r>
      <w:r>
        <w:rPr>
          <w:rFonts w:hint="eastAsia"/>
          <w:color w:val="000000" w:themeColor="text1"/>
        </w:rPr>
        <w:t>4-</w:t>
      </w:r>
      <w:r>
        <w:rPr>
          <w:color w:val="000000" w:themeColor="text1"/>
        </w:rPr>
        <w:t>2</w:t>
      </w:r>
      <w:r>
        <w:rPr>
          <w:rFonts w:hAnsiTheme="minorEastAsia"/>
          <w:color w:val="000000" w:themeColor="text1"/>
        </w:rPr>
        <w:t>）。</w:t>
      </w:r>
    </w:p>
    <w:p w:rsidR="00512332" w:rsidRDefault="00E80EF5">
      <w:pPr>
        <w:adjustRightInd w:val="0"/>
        <w:snapToGrid w:val="0"/>
        <w:spacing w:line="240" w:lineRule="auto"/>
        <w:jc w:val="center"/>
        <w:rPr>
          <w:rFonts w:eastAsiaTheme="minorEastAsia"/>
          <w:color w:val="000000" w:themeColor="text1"/>
        </w:rPr>
      </w:pPr>
      <w:r>
        <w:rPr>
          <w:rFonts w:eastAsiaTheme="minorEastAsia"/>
          <w:noProof/>
          <w:color w:val="000000" w:themeColor="text1"/>
        </w:rPr>
        <w:drawing>
          <wp:inline distT="0" distB="0" distL="0" distR="0">
            <wp:extent cx="1655445" cy="678180"/>
            <wp:effectExtent l="0" t="0" r="0"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noChangeArrowheads="1"/>
                    </pic:cNvPicPr>
                  </pic:nvPicPr>
                  <pic:blipFill>
                    <a:blip r:embed="rId2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56023" cy="678578"/>
                    </a:xfrm>
                    <a:prstGeom prst="rect">
                      <a:avLst/>
                    </a:prstGeom>
                    <a:noFill/>
                    <a:ln>
                      <a:noFill/>
                    </a:ln>
                  </pic:spPr>
                </pic:pic>
              </a:graphicData>
            </a:graphic>
          </wp:inline>
        </w:drawing>
      </w:r>
    </w:p>
    <w:p w:rsidR="00512332" w:rsidRDefault="00E80EF5" w:rsidP="009D0024">
      <w:pPr>
        <w:tabs>
          <w:tab w:val="left" w:pos="709"/>
        </w:tabs>
        <w:adjustRightInd w:val="0"/>
        <w:snapToGrid w:val="0"/>
        <w:spacing w:afterLines="50" w:line="320" w:lineRule="exact"/>
        <w:jc w:val="center"/>
        <w:rPr>
          <w:rFonts w:eastAsiaTheme="minorEastAsia"/>
          <w:b/>
          <w:color w:val="000000" w:themeColor="text1"/>
          <w:sz w:val="28"/>
          <w:szCs w:val="28"/>
        </w:rPr>
      </w:pPr>
      <w:r>
        <w:rPr>
          <w:rFonts w:eastAsiaTheme="minorEastAsia" w:hAnsiTheme="minorEastAsia"/>
          <w:b/>
          <w:color w:val="000000" w:themeColor="text1"/>
          <w:sz w:val="28"/>
          <w:szCs w:val="28"/>
        </w:rPr>
        <w:t>图</w:t>
      </w:r>
      <w:r>
        <w:rPr>
          <w:rFonts w:eastAsiaTheme="minorEastAsia"/>
          <w:b/>
          <w:color w:val="000000" w:themeColor="text1"/>
          <w:sz w:val="28"/>
          <w:szCs w:val="28"/>
        </w:rPr>
        <w:t>6.</w:t>
      </w:r>
      <w:r>
        <w:rPr>
          <w:rFonts w:eastAsiaTheme="minorEastAsia" w:hint="eastAsia"/>
          <w:b/>
          <w:color w:val="000000" w:themeColor="text1"/>
          <w:sz w:val="28"/>
          <w:szCs w:val="28"/>
        </w:rPr>
        <w:t>0</w:t>
      </w:r>
      <w:r>
        <w:rPr>
          <w:rFonts w:eastAsiaTheme="minorEastAsia"/>
          <w:b/>
          <w:color w:val="000000" w:themeColor="text1"/>
          <w:sz w:val="28"/>
          <w:szCs w:val="28"/>
        </w:rPr>
        <w:t>.</w:t>
      </w:r>
      <w:r>
        <w:rPr>
          <w:rFonts w:eastAsiaTheme="minorEastAsia" w:hint="eastAsia"/>
          <w:b/>
          <w:color w:val="000000" w:themeColor="text1"/>
          <w:sz w:val="28"/>
          <w:szCs w:val="28"/>
        </w:rPr>
        <w:t>4-</w:t>
      </w:r>
      <w:r>
        <w:rPr>
          <w:rFonts w:eastAsiaTheme="minorEastAsia"/>
          <w:b/>
          <w:color w:val="000000" w:themeColor="text1"/>
          <w:sz w:val="28"/>
          <w:szCs w:val="28"/>
        </w:rPr>
        <w:t>1</w:t>
      </w:r>
      <w:r>
        <w:rPr>
          <w:rFonts w:eastAsiaTheme="minorEastAsia" w:hAnsiTheme="minorEastAsia"/>
          <w:b/>
          <w:color w:val="000000" w:themeColor="text1"/>
          <w:sz w:val="28"/>
          <w:szCs w:val="28"/>
        </w:rPr>
        <w:t>外挂式预制外墙建筑面积计算示意图</w:t>
      </w:r>
    </w:p>
    <w:p w:rsidR="00512332" w:rsidRDefault="00E80EF5">
      <w:pPr>
        <w:adjustRightInd w:val="0"/>
        <w:snapToGrid w:val="0"/>
        <w:spacing w:line="240" w:lineRule="auto"/>
        <w:jc w:val="center"/>
        <w:rPr>
          <w:rFonts w:eastAsiaTheme="minorEastAsia"/>
          <w:b/>
          <w:color w:val="000000" w:themeColor="text1"/>
          <w:sz w:val="28"/>
          <w:szCs w:val="28"/>
        </w:rPr>
      </w:pPr>
      <w:r>
        <w:rPr>
          <w:rFonts w:eastAsiaTheme="minorEastAsia"/>
          <w:b/>
          <w:noProof/>
          <w:color w:val="000000" w:themeColor="text1"/>
          <w:sz w:val="28"/>
          <w:szCs w:val="28"/>
        </w:rPr>
        <w:drawing>
          <wp:inline distT="0" distB="0" distL="0" distR="0">
            <wp:extent cx="2062480" cy="699135"/>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noChangeArrowheads="1"/>
                    </pic:cNvPicPr>
                  </pic:nvPicPr>
                  <pic:blipFill>
                    <a:blip r:embed="rId2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62670" cy="699633"/>
                    </a:xfrm>
                    <a:prstGeom prst="rect">
                      <a:avLst/>
                    </a:prstGeom>
                    <a:noFill/>
                    <a:ln>
                      <a:noFill/>
                    </a:ln>
                  </pic:spPr>
                </pic:pic>
              </a:graphicData>
            </a:graphic>
          </wp:inline>
        </w:drawing>
      </w:r>
    </w:p>
    <w:p w:rsidR="00512332" w:rsidRDefault="00E80EF5" w:rsidP="009D0024">
      <w:pPr>
        <w:tabs>
          <w:tab w:val="left" w:pos="709"/>
        </w:tabs>
        <w:adjustRightInd w:val="0"/>
        <w:snapToGrid w:val="0"/>
        <w:spacing w:afterLines="50" w:line="320" w:lineRule="exact"/>
        <w:jc w:val="center"/>
        <w:rPr>
          <w:rFonts w:eastAsiaTheme="minorEastAsia"/>
          <w:b/>
          <w:color w:val="000000" w:themeColor="text1"/>
          <w:sz w:val="28"/>
          <w:szCs w:val="28"/>
        </w:rPr>
      </w:pPr>
      <w:r>
        <w:rPr>
          <w:rFonts w:eastAsiaTheme="minorEastAsia" w:hAnsiTheme="minorEastAsia"/>
          <w:b/>
          <w:color w:val="000000" w:themeColor="text1"/>
          <w:sz w:val="28"/>
          <w:szCs w:val="28"/>
        </w:rPr>
        <w:t>图</w:t>
      </w:r>
      <w:r>
        <w:rPr>
          <w:rFonts w:eastAsiaTheme="minorEastAsia"/>
          <w:b/>
          <w:color w:val="000000" w:themeColor="text1"/>
          <w:sz w:val="28"/>
          <w:szCs w:val="28"/>
        </w:rPr>
        <w:t>6.</w:t>
      </w:r>
      <w:r>
        <w:rPr>
          <w:rFonts w:eastAsiaTheme="minorEastAsia" w:hint="eastAsia"/>
          <w:b/>
          <w:color w:val="000000" w:themeColor="text1"/>
          <w:sz w:val="28"/>
          <w:szCs w:val="28"/>
        </w:rPr>
        <w:t>0</w:t>
      </w:r>
      <w:r>
        <w:rPr>
          <w:rFonts w:eastAsiaTheme="minorEastAsia"/>
          <w:b/>
          <w:color w:val="000000" w:themeColor="text1"/>
          <w:sz w:val="28"/>
          <w:szCs w:val="28"/>
        </w:rPr>
        <w:t>.</w:t>
      </w:r>
      <w:r>
        <w:rPr>
          <w:rFonts w:eastAsiaTheme="minorEastAsia" w:hint="eastAsia"/>
          <w:b/>
          <w:color w:val="000000" w:themeColor="text1"/>
          <w:sz w:val="28"/>
          <w:szCs w:val="28"/>
        </w:rPr>
        <w:t>4-</w:t>
      </w:r>
      <w:r>
        <w:rPr>
          <w:rFonts w:eastAsiaTheme="minorEastAsia"/>
          <w:b/>
          <w:color w:val="000000" w:themeColor="text1"/>
          <w:sz w:val="28"/>
          <w:szCs w:val="28"/>
        </w:rPr>
        <w:t>2</w:t>
      </w:r>
      <w:r>
        <w:rPr>
          <w:rFonts w:eastAsiaTheme="minorEastAsia" w:hAnsiTheme="minorEastAsia"/>
          <w:b/>
          <w:color w:val="000000" w:themeColor="text1"/>
          <w:sz w:val="28"/>
          <w:szCs w:val="28"/>
        </w:rPr>
        <w:t>嵌挂结合式预制外墙建筑面积计算示意图</w:t>
      </w:r>
    </w:p>
    <w:p w:rsidR="00512332" w:rsidRDefault="00E80EF5">
      <w:pPr>
        <w:pStyle w:val="4"/>
        <w:spacing w:before="120"/>
      </w:pPr>
      <w:r>
        <w:rPr>
          <w:rFonts w:hint="eastAsia"/>
          <w:b/>
        </w:rPr>
        <w:t>6.0.5</w:t>
      </w:r>
      <w:r>
        <w:t>预制外墙建筑面积的计算范围为装配式混凝土建筑主体围护结构的预制外墙，不包含对装配式混凝土建筑不起围护作用的装饰性构件、女儿墙等。</w:t>
      </w:r>
    </w:p>
    <w:p w:rsidR="00512332" w:rsidRDefault="00E80EF5">
      <w:pPr>
        <w:pStyle w:val="4"/>
        <w:spacing w:before="120"/>
        <w:rPr>
          <w:rFonts w:asciiTheme="minorEastAsia"/>
        </w:rPr>
      </w:pPr>
      <w:r>
        <w:rPr>
          <w:rFonts w:hint="eastAsia"/>
          <w:b/>
        </w:rPr>
        <w:lastRenderedPageBreak/>
        <w:t>6.0.6</w:t>
      </w:r>
      <w:r>
        <w:rPr>
          <w:rFonts w:asciiTheme="minorEastAsia" w:hint="eastAsia"/>
        </w:rPr>
        <w:t>计算预制外墙建筑面积时，门、</w:t>
      </w:r>
      <w:r>
        <w:rPr>
          <w:rFonts w:asciiTheme="minorEastAsia"/>
        </w:rPr>
        <w:t>窗</w:t>
      </w:r>
      <w:r>
        <w:rPr>
          <w:rFonts w:asciiTheme="minorEastAsia" w:hint="eastAsia"/>
        </w:rPr>
        <w:t>洞口位于单片</w:t>
      </w:r>
      <w:r>
        <w:rPr>
          <w:rFonts w:asciiTheme="minorEastAsia"/>
        </w:rPr>
        <w:t>预制</w:t>
      </w:r>
      <w:r>
        <w:rPr>
          <w:rFonts w:asciiTheme="minorEastAsia" w:hint="eastAsia"/>
        </w:rPr>
        <w:t>外墙构件内，四面（或三面</w:t>
      </w:r>
      <w:r>
        <w:rPr>
          <w:rFonts w:asciiTheme="minorEastAsia"/>
        </w:rPr>
        <w:t>）</w:t>
      </w:r>
      <w:r>
        <w:rPr>
          <w:rFonts w:asciiTheme="minorEastAsia" w:hint="eastAsia"/>
        </w:rPr>
        <w:t>围合且洞口面积不超过单片</w:t>
      </w:r>
      <w:r>
        <w:rPr>
          <w:rFonts w:asciiTheme="minorEastAsia"/>
        </w:rPr>
        <w:t>预制</w:t>
      </w:r>
      <w:r>
        <w:rPr>
          <w:rFonts w:asciiTheme="minorEastAsia" w:hint="eastAsia"/>
        </w:rPr>
        <w:t>外墙面积的</w:t>
      </w:r>
      <w:r>
        <w:rPr>
          <w:rFonts w:asciiTheme="minorEastAsia" w:hint="eastAsia"/>
        </w:rPr>
        <w:t>75%</w:t>
      </w:r>
      <w:r>
        <w:rPr>
          <w:rFonts w:asciiTheme="minorEastAsia" w:hint="eastAsia"/>
        </w:rPr>
        <w:t>时，</w:t>
      </w:r>
      <w:r>
        <w:rPr>
          <w:rFonts w:asciiTheme="minorEastAsia"/>
        </w:rPr>
        <w:t>无需</w:t>
      </w:r>
      <w:r>
        <w:rPr>
          <w:rFonts w:asciiTheme="minorEastAsia" w:hint="eastAsia"/>
        </w:rPr>
        <w:t>扣除</w:t>
      </w:r>
      <w:r>
        <w:rPr>
          <w:rFonts w:asciiTheme="minorEastAsia"/>
        </w:rPr>
        <w:t>预制</w:t>
      </w:r>
      <w:r>
        <w:rPr>
          <w:rFonts w:asciiTheme="minorEastAsia" w:hint="eastAsia"/>
        </w:rPr>
        <w:t>外墙构件上门、</w:t>
      </w:r>
      <w:r>
        <w:rPr>
          <w:rFonts w:asciiTheme="minorEastAsia"/>
        </w:rPr>
        <w:t>窗</w:t>
      </w:r>
      <w:r>
        <w:rPr>
          <w:rFonts w:asciiTheme="minorEastAsia" w:hint="eastAsia"/>
        </w:rPr>
        <w:t>洞口的水平投影面积（</w:t>
      </w:r>
      <w:r>
        <w:t>图</w:t>
      </w:r>
      <w:r>
        <w:t>5.</w:t>
      </w:r>
      <w:r>
        <w:rPr>
          <w:rFonts w:hint="eastAsia"/>
        </w:rPr>
        <w:t>0</w:t>
      </w:r>
      <w:r>
        <w:t>.</w:t>
      </w:r>
      <w:r>
        <w:rPr>
          <w:rFonts w:hint="eastAsia"/>
        </w:rPr>
        <w:t>5-</w:t>
      </w:r>
      <w:r>
        <w:t>2</w:t>
      </w:r>
      <w:r>
        <w:rPr>
          <w:rFonts w:asciiTheme="minorEastAsia" w:hint="eastAsia"/>
        </w:rPr>
        <w:t>）。</w:t>
      </w:r>
    </w:p>
    <w:p w:rsidR="00512332" w:rsidRDefault="00E80EF5">
      <w:pPr>
        <w:pStyle w:val="4"/>
        <w:spacing w:before="120"/>
        <w:rPr>
          <w:b/>
        </w:rPr>
      </w:pPr>
      <w:r>
        <w:rPr>
          <w:rFonts w:hint="eastAsia"/>
          <w:b/>
        </w:rPr>
        <w:t>6.0.7</w:t>
      </w:r>
      <w:r>
        <w:rPr>
          <w:rFonts w:asciiTheme="minorEastAsia" w:hint="eastAsia"/>
        </w:rPr>
        <w:t>竖向承重剪力墙采用预制构件时，预制剪力墙板之间宽度不大于</w:t>
      </w:r>
      <w:r>
        <w:rPr>
          <w:rFonts w:asciiTheme="minorEastAsia" w:hint="eastAsia"/>
        </w:rPr>
        <w:t>600mm</w:t>
      </w:r>
      <w:r>
        <w:rPr>
          <w:rFonts w:asciiTheme="minorEastAsia" w:hint="eastAsia"/>
        </w:rPr>
        <w:t>的竖向现浇段水平投影面积可计入预制外墙建筑面积。</w:t>
      </w:r>
    </w:p>
    <w:p w:rsidR="00512332" w:rsidRDefault="00E80EF5">
      <w:pPr>
        <w:pStyle w:val="4"/>
        <w:spacing w:before="120"/>
        <w:rPr>
          <w:rFonts w:asciiTheme="minorEastAsia"/>
        </w:rPr>
      </w:pPr>
      <w:r>
        <w:rPr>
          <w:rFonts w:hint="eastAsia"/>
          <w:b/>
        </w:rPr>
        <w:t>6.0.8</w:t>
      </w:r>
      <w:r>
        <w:rPr>
          <w:rFonts w:asciiTheme="minorEastAsia" w:hint="eastAsia"/>
        </w:rPr>
        <w:t>非承重混凝土墙板之间采用构造柱连接时，构造柱的长度（长度按墙轴线计算）不大于</w:t>
      </w:r>
      <w:r>
        <w:t>400mm</w:t>
      </w:r>
      <w:r>
        <w:t>时</w:t>
      </w:r>
      <w:r>
        <w:rPr>
          <w:rFonts w:asciiTheme="minorEastAsia" w:hint="eastAsia"/>
        </w:rPr>
        <w:t>，该现浇部分外墙的水平投影面积可计入预制外墙建筑面积。</w:t>
      </w:r>
    </w:p>
    <w:p w:rsidR="00512332" w:rsidRDefault="00E80EF5">
      <w:pPr>
        <w:pStyle w:val="4"/>
        <w:spacing w:before="120"/>
      </w:pPr>
      <w:r>
        <w:rPr>
          <w:rFonts w:hint="eastAsia"/>
          <w:b/>
        </w:rPr>
        <w:t>6.0.9</w:t>
      </w:r>
      <w:r>
        <w:rPr>
          <w:rFonts w:asciiTheme="minorEastAsia" w:hint="eastAsia"/>
        </w:rPr>
        <w:t>采用预制凸窗时，预制凸窗部位的预制外墙建筑面积为其对应主体结构墙体的外墙水平投影面积</w:t>
      </w:r>
      <w:r>
        <w:t>（图</w:t>
      </w:r>
      <w:r>
        <w:t>6.</w:t>
      </w:r>
      <w:r>
        <w:rPr>
          <w:rFonts w:hint="eastAsia"/>
        </w:rPr>
        <w:t>0.9</w:t>
      </w:r>
      <w:r>
        <w:t>）。</w:t>
      </w:r>
    </w:p>
    <w:p w:rsidR="00512332" w:rsidRDefault="00E80EF5">
      <w:pPr>
        <w:adjustRightInd w:val="0"/>
        <w:snapToGrid w:val="0"/>
        <w:spacing w:line="240" w:lineRule="auto"/>
        <w:jc w:val="center"/>
        <w:rPr>
          <w:rFonts w:eastAsiaTheme="minorEastAsia"/>
          <w:color w:val="000000" w:themeColor="text1"/>
        </w:rPr>
      </w:pPr>
      <w:r>
        <w:rPr>
          <w:noProof/>
        </w:rPr>
        <w:drawing>
          <wp:inline distT="0" distB="0" distL="0" distR="0">
            <wp:extent cx="5113655" cy="2318385"/>
            <wp:effectExtent l="0" t="0" r="0" b="571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25" cstate="print"/>
                    <a:stretch>
                      <a:fillRect/>
                    </a:stretch>
                  </pic:blipFill>
                  <pic:spPr>
                    <a:xfrm>
                      <a:off x="0" y="0"/>
                      <a:ext cx="5140563" cy="2331103"/>
                    </a:xfrm>
                    <a:prstGeom prst="rect">
                      <a:avLst/>
                    </a:prstGeom>
                  </pic:spPr>
                </pic:pic>
              </a:graphicData>
            </a:graphic>
          </wp:inline>
        </w:drawing>
      </w:r>
    </w:p>
    <w:p w:rsidR="00512332" w:rsidRDefault="00E80EF5">
      <w:pPr>
        <w:adjustRightInd w:val="0"/>
        <w:snapToGrid w:val="0"/>
        <w:spacing w:line="320" w:lineRule="exact"/>
        <w:jc w:val="center"/>
        <w:rPr>
          <w:rFonts w:eastAsiaTheme="minorEastAsia"/>
          <w:b/>
          <w:color w:val="000000" w:themeColor="text1"/>
          <w:sz w:val="28"/>
          <w:szCs w:val="28"/>
        </w:rPr>
      </w:pPr>
      <w:r>
        <w:rPr>
          <w:rFonts w:eastAsiaTheme="minorEastAsia" w:hAnsiTheme="minorEastAsia"/>
          <w:b/>
          <w:color w:val="000000" w:themeColor="text1"/>
          <w:sz w:val="28"/>
          <w:szCs w:val="28"/>
        </w:rPr>
        <w:t>图</w:t>
      </w:r>
      <w:r>
        <w:rPr>
          <w:rFonts w:eastAsiaTheme="minorEastAsia"/>
          <w:b/>
          <w:color w:val="000000" w:themeColor="text1"/>
          <w:sz w:val="28"/>
          <w:szCs w:val="28"/>
        </w:rPr>
        <w:t>6.</w:t>
      </w:r>
      <w:r>
        <w:rPr>
          <w:rFonts w:eastAsiaTheme="minorEastAsia" w:hint="eastAsia"/>
          <w:b/>
          <w:color w:val="000000" w:themeColor="text1"/>
          <w:sz w:val="28"/>
          <w:szCs w:val="28"/>
        </w:rPr>
        <w:t>0</w:t>
      </w:r>
      <w:r>
        <w:rPr>
          <w:rFonts w:eastAsiaTheme="minorEastAsia"/>
          <w:b/>
          <w:color w:val="000000" w:themeColor="text1"/>
          <w:sz w:val="28"/>
          <w:szCs w:val="28"/>
        </w:rPr>
        <w:t>.</w:t>
      </w:r>
      <w:r>
        <w:rPr>
          <w:rFonts w:eastAsiaTheme="minorEastAsia" w:hint="eastAsia"/>
          <w:b/>
          <w:color w:val="000000" w:themeColor="text1"/>
          <w:sz w:val="28"/>
          <w:szCs w:val="28"/>
        </w:rPr>
        <w:t>9</w:t>
      </w:r>
      <w:r>
        <w:rPr>
          <w:rFonts w:eastAsiaTheme="minorEastAsia" w:hAnsiTheme="minorEastAsia"/>
          <w:b/>
          <w:color w:val="000000" w:themeColor="text1"/>
          <w:sz w:val="28"/>
          <w:szCs w:val="28"/>
        </w:rPr>
        <w:t>预制凸窗、阳台（露台、设备平台）预制外墙建筑面积计算示意图</w:t>
      </w:r>
    </w:p>
    <w:p w:rsidR="00512332" w:rsidRDefault="00E80EF5">
      <w:pPr>
        <w:pStyle w:val="4"/>
        <w:spacing w:before="120"/>
      </w:pPr>
      <w:r>
        <w:rPr>
          <w:b/>
        </w:rPr>
        <w:t>6.</w:t>
      </w:r>
      <w:r>
        <w:rPr>
          <w:rFonts w:hint="eastAsia"/>
          <w:b/>
        </w:rPr>
        <w:t>0</w:t>
      </w:r>
      <w:r>
        <w:rPr>
          <w:b/>
        </w:rPr>
        <w:t>.</w:t>
      </w:r>
      <w:r>
        <w:rPr>
          <w:rFonts w:hint="eastAsia"/>
          <w:b/>
        </w:rPr>
        <w:t>10</w:t>
      </w:r>
      <w:r>
        <w:t>阳台采用预制（叠合）阳台时，预制阳台部位的预制外墙建筑面积为其对应主体结构墙体的外墙水平投影面积（图</w:t>
      </w:r>
      <w:r>
        <w:t>6.</w:t>
      </w:r>
      <w:r>
        <w:rPr>
          <w:rFonts w:hint="eastAsia"/>
        </w:rPr>
        <w:t>0.9</w:t>
      </w:r>
      <w:r>
        <w:t>）。</w:t>
      </w:r>
    </w:p>
    <w:p w:rsidR="00512332" w:rsidRDefault="00E80EF5">
      <w:pPr>
        <w:pStyle w:val="4"/>
        <w:spacing w:before="120"/>
      </w:pPr>
      <w:r>
        <w:rPr>
          <w:b/>
        </w:rPr>
        <w:t>6.</w:t>
      </w:r>
      <w:r>
        <w:rPr>
          <w:rFonts w:hint="eastAsia"/>
          <w:b/>
        </w:rPr>
        <w:t xml:space="preserve">0.11 </w:t>
      </w:r>
      <w:r>
        <w:t>阳台、设备平台、连廊、凸窗等部位采用预制梁、预制装饰柱等局部预制构件时，该局部预制构件的水平投影面积不计入预制外墙建筑面积。</w:t>
      </w:r>
    </w:p>
    <w:p w:rsidR="00512332" w:rsidRDefault="00E80EF5">
      <w:pPr>
        <w:pStyle w:val="4"/>
        <w:spacing w:before="120"/>
      </w:pPr>
      <w:r>
        <w:rPr>
          <w:b/>
        </w:rPr>
        <w:t>6.</w:t>
      </w:r>
      <w:r>
        <w:rPr>
          <w:rFonts w:hint="eastAsia"/>
          <w:b/>
        </w:rPr>
        <w:t>0</w:t>
      </w:r>
      <w:r>
        <w:rPr>
          <w:b/>
        </w:rPr>
        <w:t>.1</w:t>
      </w:r>
      <w:r>
        <w:rPr>
          <w:rFonts w:hint="eastAsia"/>
          <w:b/>
        </w:rPr>
        <w:t>1</w:t>
      </w:r>
      <w:r>
        <w:t>连廊部位采用叠合板构件布置，连廊部位不计入预制外墙建</w:t>
      </w:r>
      <w:r>
        <w:t>筑面积。</w:t>
      </w:r>
    </w:p>
    <w:p w:rsidR="00512332" w:rsidRDefault="00E80EF5">
      <w:pPr>
        <w:pStyle w:val="4"/>
        <w:spacing w:before="120"/>
      </w:pPr>
      <w:r>
        <w:rPr>
          <w:b/>
        </w:rPr>
        <w:t>6.</w:t>
      </w:r>
      <w:r>
        <w:rPr>
          <w:rFonts w:hint="eastAsia"/>
          <w:b/>
        </w:rPr>
        <w:t>0</w:t>
      </w:r>
      <w:r>
        <w:rPr>
          <w:b/>
        </w:rPr>
        <w:t>.1</w:t>
      </w:r>
      <w:r>
        <w:rPr>
          <w:rFonts w:hint="eastAsia"/>
          <w:b/>
        </w:rPr>
        <w:t>2</w:t>
      </w:r>
      <w:r>
        <w:rPr>
          <w:b/>
        </w:rPr>
        <w:t xml:space="preserve"> </w:t>
      </w:r>
      <w:r>
        <w:t>内天井内侧墙体采用预制外墙时，内天井内的预制外墙可计入预制外墙建筑面积。</w:t>
      </w:r>
    </w:p>
    <w:p w:rsidR="00512332" w:rsidRDefault="00E80EF5">
      <w:pPr>
        <w:pStyle w:val="4"/>
        <w:spacing w:before="120"/>
      </w:pPr>
      <w:r>
        <w:rPr>
          <w:b/>
        </w:rPr>
        <w:t>6.</w:t>
      </w:r>
      <w:r>
        <w:rPr>
          <w:rFonts w:hint="eastAsia"/>
          <w:b/>
        </w:rPr>
        <w:t>0</w:t>
      </w:r>
      <w:r>
        <w:rPr>
          <w:b/>
        </w:rPr>
        <w:t>.</w:t>
      </w:r>
      <w:r>
        <w:rPr>
          <w:rFonts w:hint="eastAsia"/>
          <w:b/>
        </w:rPr>
        <w:t>13</w:t>
      </w:r>
      <w:r>
        <w:t>采用幕墙系统的建筑外墙，建筑幕墙部分的水平投影面积不计入预制外墙建筑面积。</w:t>
      </w:r>
    </w:p>
    <w:p w:rsidR="00512332" w:rsidRDefault="00E80EF5">
      <w:pPr>
        <w:pStyle w:val="2"/>
        <w:spacing w:after="600" w:line="400" w:lineRule="exact"/>
        <w:ind w:firstLine="643"/>
        <w:jc w:val="center"/>
        <w:rPr>
          <w:rFonts w:ascii="Times New Roman" w:eastAsia="宋体" w:hAnsi="Times New Roman"/>
        </w:rPr>
      </w:pPr>
      <w:bookmarkStart w:id="61" w:name="_Toc431905733"/>
      <w:bookmarkStart w:id="62" w:name="_Toc532848526"/>
      <w:bookmarkStart w:id="63" w:name="_Toc532848601"/>
      <w:bookmarkEnd w:id="49"/>
      <w:bookmarkEnd w:id="50"/>
      <w:bookmarkEnd w:id="51"/>
      <w:r>
        <w:rPr>
          <w:rFonts w:ascii="Times New Roman" w:eastAsia="宋体" w:hAnsi="Times New Roman"/>
        </w:rPr>
        <w:lastRenderedPageBreak/>
        <w:t>本实施细则用词说明</w:t>
      </w:r>
      <w:bookmarkEnd w:id="61"/>
      <w:bookmarkEnd w:id="62"/>
      <w:bookmarkEnd w:id="63"/>
    </w:p>
    <w:p w:rsidR="00512332" w:rsidRDefault="00E80EF5">
      <w:pPr>
        <w:widowControl/>
        <w:ind w:firstLineChars="200" w:firstLine="602"/>
        <w:rPr>
          <w:bCs/>
          <w:szCs w:val="28"/>
        </w:rPr>
      </w:pPr>
      <w:bookmarkStart w:id="64" w:name="_Toc431905734"/>
      <w:r>
        <w:rPr>
          <w:b/>
          <w:bCs/>
          <w:szCs w:val="28"/>
        </w:rPr>
        <w:t>1</w:t>
      </w:r>
      <w:r>
        <w:rPr>
          <w:bCs/>
          <w:szCs w:val="28"/>
        </w:rPr>
        <w:t xml:space="preserve"> </w:t>
      </w:r>
      <w:r>
        <w:rPr>
          <w:bCs/>
          <w:szCs w:val="28"/>
        </w:rPr>
        <w:t>为便于在执行本实施细则条文时区别对待，对要求严格程度不同的用词说明如下：</w:t>
      </w:r>
    </w:p>
    <w:p w:rsidR="00512332" w:rsidRDefault="00E80EF5">
      <w:pPr>
        <w:ind w:firstLineChars="200" w:firstLine="600"/>
        <w:rPr>
          <w:szCs w:val="30"/>
        </w:rPr>
      </w:pPr>
      <w:r>
        <w:rPr>
          <w:bCs/>
          <w:szCs w:val="30"/>
        </w:rPr>
        <w:t>1)</w:t>
      </w:r>
      <w:r>
        <w:rPr>
          <w:b/>
          <w:bCs/>
          <w:szCs w:val="30"/>
        </w:rPr>
        <w:t xml:space="preserve"> </w:t>
      </w:r>
      <w:r>
        <w:rPr>
          <w:szCs w:val="30"/>
        </w:rPr>
        <w:t>表示很严格，非这样做不可的：</w:t>
      </w:r>
    </w:p>
    <w:p w:rsidR="00512332" w:rsidRDefault="00E80EF5">
      <w:pPr>
        <w:ind w:firstLineChars="300" w:firstLine="900"/>
        <w:rPr>
          <w:szCs w:val="30"/>
        </w:rPr>
      </w:pPr>
      <w:r>
        <w:rPr>
          <w:szCs w:val="30"/>
        </w:rPr>
        <w:t>正面词采用</w:t>
      </w:r>
      <w:r>
        <w:rPr>
          <w:szCs w:val="30"/>
        </w:rPr>
        <w:t>“</w:t>
      </w:r>
      <w:r>
        <w:rPr>
          <w:szCs w:val="30"/>
        </w:rPr>
        <w:t>必须</w:t>
      </w:r>
      <w:r>
        <w:rPr>
          <w:szCs w:val="30"/>
        </w:rPr>
        <w:t>”</w:t>
      </w:r>
      <w:r>
        <w:rPr>
          <w:szCs w:val="30"/>
        </w:rPr>
        <w:t>，反面词采用</w:t>
      </w:r>
      <w:r>
        <w:rPr>
          <w:szCs w:val="30"/>
        </w:rPr>
        <w:t>“</w:t>
      </w:r>
      <w:r>
        <w:rPr>
          <w:szCs w:val="30"/>
        </w:rPr>
        <w:t>严禁</w:t>
      </w:r>
      <w:r>
        <w:rPr>
          <w:szCs w:val="30"/>
        </w:rPr>
        <w:t>”</w:t>
      </w:r>
      <w:r>
        <w:rPr>
          <w:szCs w:val="30"/>
        </w:rPr>
        <w:t>。</w:t>
      </w:r>
    </w:p>
    <w:p w:rsidR="00512332" w:rsidRDefault="00E80EF5">
      <w:pPr>
        <w:ind w:firstLineChars="200" w:firstLine="600"/>
        <w:rPr>
          <w:szCs w:val="30"/>
        </w:rPr>
      </w:pPr>
      <w:r>
        <w:rPr>
          <w:bCs/>
          <w:szCs w:val="30"/>
        </w:rPr>
        <w:t>2)</w:t>
      </w:r>
      <w:r>
        <w:rPr>
          <w:b/>
          <w:bCs/>
          <w:szCs w:val="30"/>
        </w:rPr>
        <w:t xml:space="preserve"> </w:t>
      </w:r>
      <w:r>
        <w:rPr>
          <w:szCs w:val="30"/>
        </w:rPr>
        <w:t>表示严格，在正常情况下均应这样做的：</w:t>
      </w:r>
    </w:p>
    <w:p w:rsidR="00512332" w:rsidRDefault="00E80EF5">
      <w:pPr>
        <w:ind w:firstLineChars="300" w:firstLine="900"/>
        <w:rPr>
          <w:szCs w:val="30"/>
        </w:rPr>
      </w:pPr>
      <w:r>
        <w:rPr>
          <w:szCs w:val="30"/>
        </w:rPr>
        <w:t>正面词采用</w:t>
      </w:r>
      <w:r>
        <w:rPr>
          <w:szCs w:val="30"/>
        </w:rPr>
        <w:t>“</w:t>
      </w:r>
      <w:r>
        <w:rPr>
          <w:szCs w:val="30"/>
        </w:rPr>
        <w:t>应</w:t>
      </w:r>
      <w:r>
        <w:rPr>
          <w:szCs w:val="30"/>
        </w:rPr>
        <w:t>”</w:t>
      </w:r>
      <w:r>
        <w:rPr>
          <w:szCs w:val="30"/>
        </w:rPr>
        <w:t>，反面词采用</w:t>
      </w:r>
      <w:r>
        <w:rPr>
          <w:szCs w:val="30"/>
        </w:rPr>
        <w:t>“</w:t>
      </w:r>
      <w:r>
        <w:rPr>
          <w:szCs w:val="30"/>
        </w:rPr>
        <w:t>不应</w:t>
      </w:r>
      <w:r>
        <w:rPr>
          <w:szCs w:val="30"/>
        </w:rPr>
        <w:t>”</w:t>
      </w:r>
      <w:r>
        <w:rPr>
          <w:szCs w:val="30"/>
        </w:rPr>
        <w:t>或</w:t>
      </w:r>
      <w:r>
        <w:rPr>
          <w:szCs w:val="30"/>
        </w:rPr>
        <w:t>“</w:t>
      </w:r>
      <w:r>
        <w:rPr>
          <w:szCs w:val="30"/>
        </w:rPr>
        <w:t>不得</w:t>
      </w:r>
      <w:r>
        <w:rPr>
          <w:szCs w:val="30"/>
        </w:rPr>
        <w:t>”</w:t>
      </w:r>
      <w:r>
        <w:rPr>
          <w:szCs w:val="30"/>
        </w:rPr>
        <w:t>。</w:t>
      </w:r>
    </w:p>
    <w:p w:rsidR="00512332" w:rsidRDefault="00E80EF5">
      <w:pPr>
        <w:ind w:firstLineChars="200" w:firstLine="600"/>
        <w:rPr>
          <w:szCs w:val="30"/>
        </w:rPr>
      </w:pPr>
      <w:r>
        <w:rPr>
          <w:bCs/>
          <w:szCs w:val="30"/>
        </w:rPr>
        <w:t>3)</w:t>
      </w:r>
      <w:r>
        <w:rPr>
          <w:b/>
          <w:bCs/>
          <w:szCs w:val="30"/>
        </w:rPr>
        <w:t xml:space="preserve"> </w:t>
      </w:r>
      <w:r>
        <w:rPr>
          <w:szCs w:val="30"/>
        </w:rPr>
        <w:t>表示允许稍有选择，在条件许可时首先应这样做的：</w:t>
      </w:r>
    </w:p>
    <w:p w:rsidR="00512332" w:rsidRDefault="00E80EF5">
      <w:pPr>
        <w:ind w:firstLineChars="300" w:firstLine="900"/>
        <w:rPr>
          <w:szCs w:val="30"/>
        </w:rPr>
      </w:pPr>
      <w:r>
        <w:rPr>
          <w:szCs w:val="30"/>
        </w:rPr>
        <w:t>正面词采用</w:t>
      </w:r>
      <w:r>
        <w:rPr>
          <w:szCs w:val="30"/>
        </w:rPr>
        <w:t>“</w:t>
      </w:r>
      <w:r>
        <w:rPr>
          <w:szCs w:val="30"/>
        </w:rPr>
        <w:t>宜</w:t>
      </w:r>
      <w:r>
        <w:rPr>
          <w:szCs w:val="30"/>
        </w:rPr>
        <w:t>”</w:t>
      </w:r>
      <w:r>
        <w:rPr>
          <w:szCs w:val="30"/>
        </w:rPr>
        <w:t>，反面词采用</w:t>
      </w:r>
      <w:r>
        <w:rPr>
          <w:szCs w:val="30"/>
        </w:rPr>
        <w:t>“</w:t>
      </w:r>
      <w:r>
        <w:rPr>
          <w:szCs w:val="30"/>
        </w:rPr>
        <w:t>不宜</w:t>
      </w:r>
      <w:r>
        <w:rPr>
          <w:szCs w:val="30"/>
        </w:rPr>
        <w:t>”</w:t>
      </w:r>
      <w:r>
        <w:rPr>
          <w:szCs w:val="30"/>
        </w:rPr>
        <w:t>；</w:t>
      </w:r>
    </w:p>
    <w:p w:rsidR="00512332" w:rsidRDefault="00E80EF5">
      <w:pPr>
        <w:ind w:firstLineChars="200" w:firstLine="600"/>
        <w:rPr>
          <w:szCs w:val="30"/>
        </w:rPr>
      </w:pPr>
      <w:r>
        <w:rPr>
          <w:szCs w:val="30"/>
        </w:rPr>
        <w:t>表示有选择，在一定条件下可以这样做的，采用</w:t>
      </w:r>
      <w:r>
        <w:rPr>
          <w:szCs w:val="30"/>
        </w:rPr>
        <w:t>“</w:t>
      </w:r>
      <w:r>
        <w:rPr>
          <w:szCs w:val="30"/>
        </w:rPr>
        <w:t>可</w:t>
      </w:r>
      <w:r>
        <w:rPr>
          <w:szCs w:val="30"/>
        </w:rPr>
        <w:t>”</w:t>
      </w:r>
      <w:r>
        <w:rPr>
          <w:szCs w:val="30"/>
        </w:rPr>
        <w:t>。</w:t>
      </w:r>
    </w:p>
    <w:p w:rsidR="00512332" w:rsidRDefault="00E80EF5">
      <w:pPr>
        <w:widowControl/>
        <w:ind w:firstLineChars="200" w:firstLine="602"/>
        <w:rPr>
          <w:bCs/>
          <w:szCs w:val="28"/>
        </w:rPr>
        <w:sectPr w:rsidR="00512332">
          <w:footerReference w:type="default" r:id="rId226"/>
          <w:pgSz w:w="11906" w:h="16838"/>
          <w:pgMar w:top="1440" w:right="1474" w:bottom="1440" w:left="1474" w:header="851" w:footer="992" w:gutter="0"/>
          <w:cols w:space="425"/>
          <w:docGrid w:linePitch="326"/>
        </w:sectPr>
      </w:pPr>
      <w:r>
        <w:rPr>
          <w:b/>
          <w:bCs/>
          <w:szCs w:val="28"/>
        </w:rPr>
        <w:t>2</w:t>
      </w:r>
      <w:r>
        <w:rPr>
          <w:bCs/>
          <w:szCs w:val="28"/>
        </w:rPr>
        <w:t xml:space="preserve"> </w:t>
      </w:r>
      <w:r>
        <w:rPr>
          <w:bCs/>
          <w:szCs w:val="28"/>
        </w:rPr>
        <w:t>本实施细则中指明应按其他有关标准、规范执行的，写法为：</w:t>
      </w:r>
      <w:r>
        <w:rPr>
          <w:bCs/>
          <w:szCs w:val="28"/>
        </w:rPr>
        <w:t>“</w:t>
      </w:r>
      <w:r>
        <w:rPr>
          <w:bCs/>
          <w:szCs w:val="28"/>
        </w:rPr>
        <w:t>应符合</w:t>
      </w:r>
      <w:r>
        <w:rPr>
          <w:bCs/>
          <w:szCs w:val="28"/>
        </w:rPr>
        <w:t>……</w:t>
      </w:r>
      <w:r>
        <w:rPr>
          <w:bCs/>
          <w:szCs w:val="28"/>
        </w:rPr>
        <w:t>的规定或要求</w:t>
      </w:r>
      <w:r>
        <w:rPr>
          <w:bCs/>
          <w:szCs w:val="28"/>
        </w:rPr>
        <w:t>”</w:t>
      </w:r>
      <w:r>
        <w:rPr>
          <w:bCs/>
          <w:szCs w:val="28"/>
        </w:rPr>
        <w:t>或</w:t>
      </w:r>
      <w:r>
        <w:rPr>
          <w:bCs/>
          <w:szCs w:val="28"/>
        </w:rPr>
        <w:t>“</w:t>
      </w:r>
      <w:r>
        <w:rPr>
          <w:bCs/>
          <w:szCs w:val="28"/>
        </w:rPr>
        <w:t>应按</w:t>
      </w:r>
      <w:r>
        <w:rPr>
          <w:bCs/>
          <w:szCs w:val="28"/>
        </w:rPr>
        <w:t>……</w:t>
      </w:r>
      <w:r>
        <w:rPr>
          <w:bCs/>
          <w:szCs w:val="28"/>
        </w:rPr>
        <w:t>执行</w:t>
      </w:r>
      <w:r>
        <w:rPr>
          <w:bCs/>
          <w:szCs w:val="28"/>
        </w:rPr>
        <w:t>”</w:t>
      </w:r>
      <w:r>
        <w:rPr>
          <w:bCs/>
          <w:szCs w:val="28"/>
        </w:rPr>
        <w:t>。</w:t>
      </w:r>
    </w:p>
    <w:bookmarkEnd w:id="64"/>
    <w:p w:rsidR="00512332" w:rsidRDefault="00512332">
      <w:pPr>
        <w:ind w:left="709" w:rightChars="64" w:right="192" w:firstLine="600"/>
        <w:rPr>
          <w:szCs w:val="30"/>
        </w:rPr>
      </w:pPr>
    </w:p>
    <w:p w:rsidR="00512332" w:rsidRDefault="00512332">
      <w:pPr>
        <w:ind w:firstLine="640"/>
        <w:jc w:val="center"/>
        <w:rPr>
          <w:sz w:val="32"/>
          <w:szCs w:val="32"/>
        </w:rPr>
      </w:pPr>
    </w:p>
    <w:p w:rsidR="00512332" w:rsidRDefault="00E80EF5" w:rsidP="009D0024">
      <w:pPr>
        <w:spacing w:beforeLines="50" w:line="480" w:lineRule="auto"/>
        <w:ind w:firstLine="680"/>
        <w:jc w:val="center"/>
        <w:rPr>
          <w:rFonts w:eastAsia="黑体"/>
          <w:spacing w:val="10"/>
          <w:sz w:val="32"/>
          <w:szCs w:val="32"/>
        </w:rPr>
      </w:pPr>
      <w:r>
        <w:rPr>
          <w:rFonts w:eastAsia="黑体"/>
          <w:spacing w:val="10"/>
          <w:sz w:val="32"/>
          <w:szCs w:val="32"/>
        </w:rPr>
        <w:t>宁波市建设地方标准</w:t>
      </w:r>
    </w:p>
    <w:p w:rsidR="00512332" w:rsidRDefault="00E80EF5">
      <w:pPr>
        <w:ind w:firstLine="600"/>
      </w:pPr>
      <w:r>
        <w:t xml:space="preserve">                                               </w:t>
      </w:r>
    </w:p>
    <w:p w:rsidR="00512332" w:rsidRDefault="00512332">
      <w:pPr>
        <w:ind w:firstLine="600"/>
      </w:pPr>
    </w:p>
    <w:p w:rsidR="00512332" w:rsidRDefault="00512332">
      <w:pPr>
        <w:ind w:firstLine="600"/>
      </w:pPr>
    </w:p>
    <w:p w:rsidR="00512332" w:rsidRDefault="00E80EF5">
      <w:pPr>
        <w:tabs>
          <w:tab w:val="left" w:pos="3540"/>
        </w:tabs>
        <w:spacing w:line="480" w:lineRule="auto"/>
        <w:jc w:val="center"/>
        <w:rPr>
          <w:b/>
          <w:sz w:val="44"/>
          <w:szCs w:val="44"/>
        </w:rPr>
      </w:pPr>
      <w:r>
        <w:rPr>
          <w:rFonts w:hint="eastAsia"/>
          <w:b/>
          <w:sz w:val="44"/>
          <w:szCs w:val="44"/>
        </w:rPr>
        <w:t>宁波市装配式建筑装配率与预制率计算细则</w:t>
      </w:r>
    </w:p>
    <w:p w:rsidR="00512332" w:rsidRDefault="00512332">
      <w:pPr>
        <w:tabs>
          <w:tab w:val="left" w:pos="3540"/>
        </w:tabs>
        <w:spacing w:line="720" w:lineRule="auto"/>
        <w:ind w:firstLine="883"/>
        <w:jc w:val="center"/>
        <w:rPr>
          <w:b/>
          <w:sz w:val="44"/>
          <w:szCs w:val="44"/>
        </w:rPr>
      </w:pPr>
    </w:p>
    <w:p w:rsidR="00512332" w:rsidRDefault="00E80EF5">
      <w:pPr>
        <w:ind w:firstLine="602"/>
        <w:jc w:val="center"/>
        <w:rPr>
          <w:b/>
        </w:rPr>
      </w:pPr>
      <w:r>
        <w:rPr>
          <w:b/>
        </w:rPr>
        <w:t>201</w:t>
      </w:r>
      <w:r>
        <w:rPr>
          <w:b/>
        </w:rPr>
        <w:t>甬</w:t>
      </w:r>
      <w:r>
        <w:rPr>
          <w:b/>
        </w:rPr>
        <w:t xml:space="preserve"> </w:t>
      </w:r>
      <w:r>
        <w:rPr>
          <w:rFonts w:hint="eastAsia"/>
          <w:b/>
        </w:rPr>
        <w:t>DX</w:t>
      </w:r>
      <w:r>
        <w:rPr>
          <w:b/>
        </w:rPr>
        <w:t>-</w:t>
      </w:r>
      <w:r>
        <w:rPr>
          <w:rFonts w:hint="eastAsia"/>
          <w:b/>
        </w:rPr>
        <w:t>XX</w:t>
      </w:r>
    </w:p>
    <w:p w:rsidR="00512332" w:rsidRDefault="00512332">
      <w:pPr>
        <w:ind w:firstLine="602"/>
        <w:jc w:val="center"/>
        <w:rPr>
          <w:b/>
        </w:rPr>
      </w:pPr>
    </w:p>
    <w:p w:rsidR="00512332" w:rsidRDefault="00512332">
      <w:pPr>
        <w:ind w:firstLine="602"/>
        <w:jc w:val="center"/>
        <w:rPr>
          <w:b/>
        </w:rPr>
      </w:pPr>
    </w:p>
    <w:p w:rsidR="00512332" w:rsidRDefault="00E80EF5">
      <w:pPr>
        <w:tabs>
          <w:tab w:val="left" w:pos="3540"/>
        </w:tabs>
        <w:spacing w:line="720" w:lineRule="auto"/>
        <w:ind w:firstLine="600"/>
        <w:jc w:val="center"/>
        <w:sectPr w:rsidR="00512332">
          <w:headerReference w:type="default" r:id="rId227"/>
          <w:footerReference w:type="default" r:id="rId228"/>
          <w:pgSz w:w="11906" w:h="16838"/>
          <w:pgMar w:top="1440" w:right="1474" w:bottom="1440" w:left="1474" w:header="851" w:footer="992" w:gutter="0"/>
          <w:cols w:space="425"/>
          <w:docGrid w:linePitch="312"/>
        </w:sectPr>
      </w:pPr>
      <w:r>
        <w:t>条</w:t>
      </w:r>
      <w:r>
        <w:t xml:space="preserve"> </w:t>
      </w:r>
      <w:r>
        <w:t>文</w:t>
      </w:r>
      <w:r>
        <w:t xml:space="preserve"> </w:t>
      </w:r>
      <w:r>
        <w:t>说</w:t>
      </w:r>
      <w:r>
        <w:t xml:space="preserve"> </w:t>
      </w:r>
      <w:r>
        <w:t>明</w:t>
      </w:r>
    </w:p>
    <w:p w:rsidR="00512332" w:rsidRDefault="00E80EF5">
      <w:pPr>
        <w:ind w:firstLine="720"/>
        <w:jc w:val="center"/>
        <w:rPr>
          <w:sz w:val="36"/>
          <w:szCs w:val="36"/>
        </w:rPr>
      </w:pPr>
      <w:bookmarkStart w:id="65" w:name="_Toc428866034"/>
      <w:bookmarkStart w:id="66" w:name="_Toc431905736"/>
      <w:bookmarkStart w:id="67" w:name="_Toc429938854"/>
      <w:bookmarkStart w:id="68" w:name="_Toc432494965"/>
      <w:r>
        <w:rPr>
          <w:sz w:val="36"/>
          <w:szCs w:val="36"/>
        </w:rPr>
        <w:lastRenderedPageBreak/>
        <w:t>目</w:t>
      </w:r>
      <w:r>
        <w:rPr>
          <w:sz w:val="36"/>
          <w:szCs w:val="36"/>
        </w:rPr>
        <w:t xml:space="preserve">   </w:t>
      </w:r>
      <w:r>
        <w:rPr>
          <w:sz w:val="36"/>
          <w:szCs w:val="36"/>
        </w:rPr>
        <w:t>次</w:t>
      </w:r>
    </w:p>
    <w:p w:rsidR="00512332" w:rsidRDefault="00512332">
      <w:pPr>
        <w:ind w:firstLine="720"/>
        <w:jc w:val="center"/>
        <w:rPr>
          <w:sz w:val="36"/>
          <w:szCs w:val="36"/>
        </w:rPr>
      </w:pPr>
    </w:p>
    <w:p w:rsidR="00512332" w:rsidRDefault="00512332">
      <w:pPr>
        <w:pStyle w:val="21"/>
        <w:rPr>
          <w:rFonts w:asciiTheme="minorHAnsi" w:eastAsiaTheme="minorEastAsia" w:hAnsiTheme="minorHAnsi" w:cstheme="minorBidi"/>
          <w:kern w:val="2"/>
          <w:sz w:val="21"/>
          <w:szCs w:val="22"/>
        </w:rPr>
      </w:pPr>
      <w:r w:rsidRPr="00512332">
        <w:fldChar w:fldCharType="begin"/>
      </w:r>
      <w:r w:rsidR="00E80EF5">
        <w:instrText xml:space="preserve"> TOC \o "1-3" \h \z \u </w:instrText>
      </w:r>
      <w:r w:rsidRPr="00512332">
        <w:fldChar w:fldCharType="separate"/>
      </w:r>
      <w:hyperlink w:anchor="_Toc532848527" w:history="1">
        <w:r w:rsidR="00E80EF5">
          <w:rPr>
            <w:rStyle w:val="af8"/>
          </w:rPr>
          <w:t xml:space="preserve">1  </w:t>
        </w:r>
        <w:r w:rsidR="00E80EF5">
          <w:rPr>
            <w:rStyle w:val="af8"/>
            <w:rFonts w:hint="eastAsia"/>
          </w:rPr>
          <w:t>总</w:t>
        </w:r>
        <w:r w:rsidR="00E80EF5">
          <w:rPr>
            <w:rStyle w:val="af8"/>
          </w:rPr>
          <w:t xml:space="preserve">   </w:t>
        </w:r>
        <w:r w:rsidR="00E80EF5">
          <w:rPr>
            <w:rStyle w:val="af8"/>
            <w:rFonts w:hint="eastAsia"/>
          </w:rPr>
          <w:t>则</w:t>
        </w:r>
        <w:r w:rsidR="00E80EF5">
          <w:tab/>
        </w:r>
        <w:r>
          <w:fldChar w:fldCharType="begin"/>
        </w:r>
        <w:r w:rsidR="00E80EF5">
          <w:instrText xml:space="preserve"> PAGEREF _Toc532848527 \h </w:instrText>
        </w:r>
        <w:r>
          <w:fldChar w:fldCharType="separate"/>
        </w:r>
        <w:r w:rsidR="00E80EF5">
          <w:t>24</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28" w:history="1">
        <w:r w:rsidR="00E80EF5">
          <w:rPr>
            <w:rStyle w:val="af8"/>
          </w:rPr>
          <w:t xml:space="preserve">2  </w:t>
        </w:r>
        <w:r w:rsidR="00E80EF5">
          <w:rPr>
            <w:rStyle w:val="af8"/>
            <w:rFonts w:hint="eastAsia"/>
          </w:rPr>
          <w:t>术</w:t>
        </w:r>
        <w:r w:rsidR="00E80EF5">
          <w:rPr>
            <w:rStyle w:val="af8"/>
          </w:rPr>
          <w:t xml:space="preserve">   </w:t>
        </w:r>
        <w:r w:rsidR="00E80EF5">
          <w:rPr>
            <w:rStyle w:val="af8"/>
            <w:rFonts w:hint="eastAsia"/>
          </w:rPr>
          <w:t>语</w:t>
        </w:r>
        <w:r w:rsidR="00E80EF5">
          <w:tab/>
        </w:r>
        <w:r>
          <w:fldChar w:fldCharType="begin"/>
        </w:r>
        <w:r w:rsidR="00E80EF5">
          <w:instrText xml:space="preserve"> PAGEREF _Toc532848528 \h </w:instrText>
        </w:r>
        <w:r>
          <w:fldChar w:fldCharType="separate"/>
        </w:r>
        <w:r w:rsidR="00E80EF5">
          <w:t>24</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29" w:history="1">
        <w:r w:rsidR="00E80EF5">
          <w:rPr>
            <w:rStyle w:val="af8"/>
          </w:rPr>
          <w:t xml:space="preserve">3  </w:t>
        </w:r>
        <w:r w:rsidR="00E80EF5">
          <w:rPr>
            <w:rStyle w:val="af8"/>
            <w:rFonts w:hint="eastAsia"/>
          </w:rPr>
          <w:t>基本规定</w:t>
        </w:r>
        <w:r w:rsidR="00E80EF5">
          <w:tab/>
        </w:r>
        <w:r>
          <w:fldChar w:fldCharType="begin"/>
        </w:r>
        <w:r w:rsidR="00E80EF5">
          <w:instrText xml:space="preserve"> PAGEREF _Toc532848529 \h </w:instrText>
        </w:r>
        <w:r>
          <w:fldChar w:fldCharType="separate"/>
        </w:r>
        <w:r w:rsidR="00E80EF5">
          <w:t>25</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30" w:history="1">
        <w:r w:rsidR="00E80EF5">
          <w:rPr>
            <w:rStyle w:val="af8"/>
          </w:rPr>
          <w:t xml:space="preserve">4  </w:t>
        </w:r>
        <w:r w:rsidR="00E80EF5">
          <w:rPr>
            <w:rStyle w:val="af8"/>
            <w:rFonts w:hint="eastAsia"/>
          </w:rPr>
          <w:t>装配率与预制率计算</w:t>
        </w:r>
        <w:r w:rsidR="00E80EF5">
          <w:tab/>
        </w:r>
        <w:r>
          <w:fldChar w:fldCharType="begin"/>
        </w:r>
        <w:r w:rsidR="00E80EF5">
          <w:instrText xml:space="preserve"> PAGEREF _Toc532848530 \h </w:instrText>
        </w:r>
        <w:r>
          <w:fldChar w:fldCharType="separate"/>
        </w:r>
        <w:r w:rsidR="00E80EF5">
          <w:t>26</w:t>
        </w:r>
        <w:r>
          <w:fldChar w:fldCharType="end"/>
        </w:r>
      </w:hyperlink>
    </w:p>
    <w:p w:rsidR="00512332" w:rsidRDefault="00512332">
      <w:pPr>
        <w:pStyle w:val="30"/>
        <w:rPr>
          <w:rFonts w:asciiTheme="minorHAnsi" w:eastAsiaTheme="minorEastAsia" w:hAnsiTheme="minorHAnsi" w:cstheme="minorBidi"/>
          <w:kern w:val="2"/>
          <w:sz w:val="21"/>
        </w:rPr>
      </w:pPr>
      <w:hyperlink w:anchor="_Toc532848531" w:history="1">
        <w:r w:rsidR="00E80EF5">
          <w:rPr>
            <w:rStyle w:val="af8"/>
          </w:rPr>
          <w:t>4.1</w:t>
        </w:r>
        <w:r w:rsidR="00E80EF5">
          <w:rPr>
            <w:rStyle w:val="af8"/>
            <w:rFonts w:hint="eastAsia"/>
          </w:rPr>
          <w:t>装配率计算</w:t>
        </w:r>
        <w:r w:rsidR="00E80EF5">
          <w:tab/>
        </w:r>
        <w:r>
          <w:fldChar w:fldCharType="begin"/>
        </w:r>
        <w:r w:rsidR="00E80EF5">
          <w:instrText xml:space="preserve"> PAGEREF _Toc532848531 \h </w:instrText>
        </w:r>
        <w:r>
          <w:fldChar w:fldCharType="separate"/>
        </w:r>
        <w:r w:rsidR="00E80EF5">
          <w:t>26</w:t>
        </w:r>
        <w:r>
          <w:fldChar w:fldCharType="end"/>
        </w:r>
      </w:hyperlink>
    </w:p>
    <w:p w:rsidR="00512332" w:rsidRDefault="00512332">
      <w:pPr>
        <w:pStyle w:val="30"/>
        <w:rPr>
          <w:rFonts w:asciiTheme="minorHAnsi" w:eastAsiaTheme="minorEastAsia" w:hAnsiTheme="minorHAnsi" w:cstheme="minorBidi"/>
          <w:kern w:val="2"/>
          <w:sz w:val="21"/>
        </w:rPr>
      </w:pPr>
      <w:hyperlink w:anchor="_Toc532848532" w:history="1">
        <w:r w:rsidR="00E80EF5">
          <w:rPr>
            <w:rStyle w:val="af8"/>
          </w:rPr>
          <w:t>4.2</w:t>
        </w:r>
        <w:r w:rsidR="00E80EF5">
          <w:rPr>
            <w:rStyle w:val="af8"/>
            <w:rFonts w:hint="eastAsia"/>
          </w:rPr>
          <w:t>预制率计算</w:t>
        </w:r>
        <w:r w:rsidR="00E80EF5">
          <w:tab/>
        </w:r>
        <w:r>
          <w:fldChar w:fldCharType="begin"/>
        </w:r>
        <w:r w:rsidR="00E80EF5">
          <w:instrText xml:space="preserve"> PAGEREF _Toc532848532 \h </w:instrText>
        </w:r>
        <w:r>
          <w:fldChar w:fldCharType="separate"/>
        </w:r>
        <w:r w:rsidR="00E80EF5">
          <w:t>27</w:t>
        </w:r>
        <w:r>
          <w:fldChar w:fldCharType="end"/>
        </w:r>
      </w:hyperlink>
    </w:p>
    <w:p w:rsidR="00512332" w:rsidRDefault="00512332">
      <w:pPr>
        <w:pStyle w:val="30"/>
        <w:rPr>
          <w:rFonts w:asciiTheme="minorHAnsi" w:eastAsiaTheme="minorEastAsia" w:hAnsiTheme="minorHAnsi" w:cstheme="minorBidi"/>
          <w:kern w:val="2"/>
          <w:sz w:val="21"/>
        </w:rPr>
      </w:pPr>
      <w:hyperlink w:anchor="_Toc532848533" w:history="1">
        <w:r w:rsidR="00E80EF5">
          <w:rPr>
            <w:rStyle w:val="af8"/>
          </w:rPr>
          <w:t>4.3</w:t>
        </w:r>
        <w:r w:rsidR="00E80EF5">
          <w:rPr>
            <w:rStyle w:val="af8"/>
            <w:rFonts w:hint="eastAsia"/>
          </w:rPr>
          <w:t>计算规定</w:t>
        </w:r>
        <w:r w:rsidR="00E80EF5">
          <w:tab/>
        </w:r>
        <w:r>
          <w:fldChar w:fldCharType="begin"/>
        </w:r>
        <w:r w:rsidR="00E80EF5">
          <w:instrText xml:space="preserve"> PAGEREF _Toc532848533 \h </w:instrText>
        </w:r>
        <w:r>
          <w:fldChar w:fldCharType="separate"/>
        </w:r>
        <w:r w:rsidR="00E80EF5">
          <w:t>28</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34" w:history="1">
        <w:r w:rsidR="00E80EF5">
          <w:rPr>
            <w:rStyle w:val="af8"/>
          </w:rPr>
          <w:t xml:space="preserve">5  </w:t>
        </w:r>
        <w:r w:rsidR="00E80EF5">
          <w:rPr>
            <w:rStyle w:val="af8"/>
            <w:rFonts w:hint="eastAsia"/>
          </w:rPr>
          <w:t>预制外墙外表面积比计算</w:t>
        </w:r>
        <w:r w:rsidR="00E80EF5">
          <w:tab/>
        </w:r>
        <w:r>
          <w:fldChar w:fldCharType="begin"/>
        </w:r>
        <w:r w:rsidR="00E80EF5">
          <w:instrText xml:space="preserve"> PAGEREF _Toc532848534 \h </w:instrText>
        </w:r>
        <w:r>
          <w:fldChar w:fldCharType="separate"/>
        </w:r>
        <w:r w:rsidR="00E80EF5">
          <w:t>29</w:t>
        </w:r>
        <w:r>
          <w:fldChar w:fldCharType="end"/>
        </w:r>
      </w:hyperlink>
    </w:p>
    <w:p w:rsidR="00512332" w:rsidRDefault="00512332">
      <w:pPr>
        <w:pStyle w:val="21"/>
        <w:rPr>
          <w:rFonts w:asciiTheme="minorHAnsi" w:eastAsiaTheme="minorEastAsia" w:hAnsiTheme="minorHAnsi" w:cstheme="minorBidi"/>
          <w:kern w:val="2"/>
          <w:sz w:val="21"/>
          <w:szCs w:val="22"/>
        </w:rPr>
      </w:pPr>
      <w:hyperlink w:anchor="_Toc532848535" w:history="1">
        <w:r w:rsidR="00E80EF5">
          <w:rPr>
            <w:rStyle w:val="af8"/>
          </w:rPr>
          <w:t xml:space="preserve">6  </w:t>
        </w:r>
        <w:r w:rsidR="00E80EF5">
          <w:rPr>
            <w:rStyle w:val="af8"/>
            <w:rFonts w:hint="eastAsia"/>
          </w:rPr>
          <w:t>预制外墙建筑面积计算</w:t>
        </w:r>
        <w:r w:rsidR="00E80EF5">
          <w:tab/>
        </w:r>
        <w:r>
          <w:fldChar w:fldCharType="begin"/>
        </w:r>
        <w:r w:rsidR="00E80EF5">
          <w:instrText xml:space="preserve"> PAGEREF _Toc532848535 \h </w:instrText>
        </w:r>
        <w:r>
          <w:fldChar w:fldCharType="separate"/>
        </w:r>
        <w:r w:rsidR="00E80EF5">
          <w:t>30</w:t>
        </w:r>
        <w:r>
          <w:fldChar w:fldCharType="end"/>
        </w:r>
      </w:hyperlink>
    </w:p>
    <w:p w:rsidR="00512332" w:rsidRDefault="00512332">
      <w:pPr>
        <w:ind w:firstLine="560"/>
        <w:jc w:val="center"/>
        <w:rPr>
          <w:sz w:val="32"/>
          <w:szCs w:val="32"/>
        </w:rPr>
      </w:pPr>
      <w:r>
        <w:rPr>
          <w:sz w:val="28"/>
          <w:szCs w:val="28"/>
        </w:rPr>
        <w:fldChar w:fldCharType="end"/>
      </w:r>
    </w:p>
    <w:p w:rsidR="00512332" w:rsidRDefault="00512332">
      <w:pPr>
        <w:ind w:firstLine="640"/>
        <w:jc w:val="center"/>
        <w:rPr>
          <w:sz w:val="32"/>
          <w:szCs w:val="32"/>
        </w:rPr>
        <w:sectPr w:rsidR="00512332">
          <w:pgSz w:w="11906" w:h="16838"/>
          <w:pgMar w:top="1440" w:right="1474" w:bottom="1440" w:left="1474" w:header="851" w:footer="992" w:gutter="0"/>
          <w:cols w:space="425"/>
          <w:docGrid w:linePitch="312"/>
        </w:sectPr>
      </w:pPr>
    </w:p>
    <w:p w:rsidR="00512332" w:rsidRDefault="00E80EF5">
      <w:pPr>
        <w:pStyle w:val="2"/>
        <w:spacing w:after="600" w:line="400" w:lineRule="exact"/>
        <w:ind w:firstLine="643"/>
        <w:jc w:val="center"/>
        <w:rPr>
          <w:rFonts w:ascii="Times New Roman" w:eastAsia="宋体" w:hAnsi="Times New Roman"/>
        </w:rPr>
      </w:pPr>
      <w:bookmarkStart w:id="69" w:name="_Toc532848602"/>
      <w:bookmarkStart w:id="70" w:name="_Toc532848527"/>
      <w:r>
        <w:rPr>
          <w:rFonts w:ascii="Times New Roman" w:eastAsia="宋体" w:hAnsi="Times New Roman"/>
        </w:rPr>
        <w:lastRenderedPageBreak/>
        <w:t xml:space="preserve">1  </w:t>
      </w:r>
      <w:r>
        <w:rPr>
          <w:rFonts w:ascii="Times New Roman" w:eastAsia="宋体" w:hAnsi="Times New Roman"/>
        </w:rPr>
        <w:t>总</w:t>
      </w:r>
      <w:r>
        <w:rPr>
          <w:rFonts w:ascii="Times New Roman" w:eastAsia="宋体" w:hAnsi="Times New Roman"/>
        </w:rPr>
        <w:t xml:space="preserve">   </w:t>
      </w:r>
      <w:r>
        <w:rPr>
          <w:rFonts w:ascii="Times New Roman" w:eastAsia="宋体" w:hAnsi="Times New Roman"/>
        </w:rPr>
        <w:t>则</w:t>
      </w:r>
      <w:bookmarkEnd w:id="65"/>
      <w:bookmarkEnd w:id="66"/>
      <w:bookmarkEnd w:id="67"/>
      <w:bookmarkEnd w:id="68"/>
      <w:bookmarkEnd w:id="69"/>
      <w:bookmarkEnd w:id="70"/>
    </w:p>
    <w:p w:rsidR="00512332" w:rsidRDefault="00E80EF5">
      <w:pPr>
        <w:pStyle w:val="2"/>
        <w:spacing w:after="600" w:line="400" w:lineRule="exact"/>
        <w:ind w:firstLine="643"/>
        <w:jc w:val="center"/>
        <w:rPr>
          <w:rFonts w:ascii="Times New Roman" w:eastAsia="宋体" w:hAnsi="Times New Roman"/>
        </w:rPr>
      </w:pPr>
      <w:bookmarkStart w:id="71" w:name="_Toc455312886"/>
      <w:bookmarkStart w:id="72" w:name="_Toc429938855"/>
      <w:bookmarkStart w:id="73" w:name="_Toc428866035"/>
      <w:bookmarkStart w:id="74" w:name="_Toc432494966"/>
      <w:bookmarkStart w:id="75" w:name="_Toc532848528"/>
      <w:bookmarkStart w:id="76" w:name="_Toc431905737"/>
      <w:bookmarkStart w:id="77" w:name="_Toc532848603"/>
      <w:r>
        <w:rPr>
          <w:rFonts w:ascii="Times New Roman" w:eastAsia="宋体" w:hAnsi="Times New Roman"/>
        </w:rPr>
        <w:t xml:space="preserve">2  </w:t>
      </w:r>
      <w:r>
        <w:rPr>
          <w:rFonts w:ascii="Times New Roman" w:eastAsia="宋体" w:hAnsi="Times New Roman"/>
        </w:rPr>
        <w:t>术</w:t>
      </w:r>
      <w:r>
        <w:rPr>
          <w:rFonts w:ascii="Times New Roman" w:eastAsia="宋体" w:hAnsi="Times New Roman"/>
        </w:rPr>
        <w:t xml:space="preserve">   </w:t>
      </w:r>
      <w:r>
        <w:rPr>
          <w:rFonts w:ascii="Times New Roman" w:eastAsia="宋体" w:hAnsi="Times New Roman"/>
        </w:rPr>
        <w:t>语</w:t>
      </w:r>
      <w:bookmarkEnd w:id="71"/>
      <w:bookmarkEnd w:id="72"/>
      <w:bookmarkEnd w:id="73"/>
      <w:bookmarkEnd w:id="74"/>
      <w:bookmarkEnd w:id="75"/>
      <w:bookmarkEnd w:id="76"/>
      <w:bookmarkEnd w:id="77"/>
    </w:p>
    <w:p w:rsidR="00512332" w:rsidRDefault="00E80EF5">
      <w:pPr>
        <w:rPr>
          <w:rFonts w:eastAsiaTheme="minorEastAsia"/>
          <w:szCs w:val="30"/>
        </w:rPr>
      </w:pPr>
      <w:r>
        <w:rPr>
          <w:rFonts w:eastAsiaTheme="minorEastAsia"/>
          <w:b/>
          <w:szCs w:val="30"/>
        </w:rPr>
        <w:t>2.0.1</w:t>
      </w:r>
      <w:r>
        <w:rPr>
          <w:rFonts w:eastAsiaTheme="minorEastAsia"/>
          <w:szCs w:val="30"/>
        </w:rPr>
        <w:t xml:space="preserve"> </w:t>
      </w:r>
      <w:r>
        <w:rPr>
          <w:rFonts w:eastAsiaTheme="minorEastAsia" w:hAnsiTheme="minorEastAsia"/>
          <w:szCs w:val="30"/>
        </w:rPr>
        <w:t>装配式建筑</w:t>
      </w:r>
      <w:r>
        <w:rPr>
          <w:rFonts w:eastAsiaTheme="minorEastAsia"/>
          <w:szCs w:val="30"/>
        </w:rPr>
        <w:t xml:space="preserve"> prefabricated building</w:t>
      </w:r>
    </w:p>
    <w:p w:rsidR="00512332" w:rsidRDefault="00E80EF5">
      <w:pPr>
        <w:rPr>
          <w:rFonts w:eastAsiaTheme="minorEastAsia"/>
          <w:szCs w:val="30"/>
          <w:shd w:val="clear" w:color="auto" w:fill="FFFFFF"/>
        </w:rPr>
      </w:pPr>
      <w:r>
        <w:rPr>
          <w:rFonts w:eastAsiaTheme="minorEastAsia" w:hAnsiTheme="minorEastAsia"/>
          <w:szCs w:val="30"/>
          <w:shd w:val="clear" w:color="auto" w:fill="FFFFFF"/>
        </w:rPr>
        <w:t>装配式建筑是一个系统工程，是将预制部品部件通过系统集成的方法在工地装配，实现建筑主体结构构件预制，非承重围护墙和内隔墙非砌筑并全装修的建筑。装配式建筑的主体结构可采用装配式混凝土结构、装配式钢结构、装配式木结构及钢框架</w:t>
      </w:r>
      <w:r>
        <w:rPr>
          <w:rFonts w:eastAsiaTheme="minorEastAsia"/>
          <w:szCs w:val="30"/>
          <w:shd w:val="clear" w:color="auto" w:fill="FFFFFF"/>
        </w:rPr>
        <w:t>—</w:t>
      </w:r>
      <w:r>
        <w:rPr>
          <w:rFonts w:eastAsiaTheme="minorEastAsia" w:hAnsiTheme="minorEastAsia"/>
          <w:szCs w:val="30"/>
          <w:shd w:val="clear" w:color="auto" w:fill="FFFFFF"/>
        </w:rPr>
        <w:t>混凝土核心筒（剪力墙）混合结构等。</w:t>
      </w:r>
    </w:p>
    <w:p w:rsidR="00512332" w:rsidRDefault="00E80EF5">
      <w:pPr>
        <w:rPr>
          <w:rFonts w:eastAsiaTheme="minorEastAsia"/>
          <w:szCs w:val="30"/>
          <w:shd w:val="clear" w:color="auto" w:fill="FFFFFF"/>
        </w:rPr>
      </w:pPr>
      <w:r>
        <w:rPr>
          <w:rFonts w:eastAsiaTheme="minorEastAsia" w:hAnsiTheme="minorEastAsia"/>
          <w:szCs w:val="30"/>
          <w:shd w:val="clear" w:color="auto" w:fill="FFFFFF"/>
        </w:rPr>
        <w:t>装配式混凝土结构应用应符合国家现行标准《装配式混凝土建筑技术标准》</w:t>
      </w:r>
      <w:r>
        <w:rPr>
          <w:rFonts w:eastAsiaTheme="minorEastAsia"/>
          <w:szCs w:val="30"/>
          <w:shd w:val="clear" w:color="auto" w:fill="FFFFFF"/>
        </w:rPr>
        <w:t>GB/T 51231</w:t>
      </w:r>
      <w:r>
        <w:rPr>
          <w:rFonts w:eastAsiaTheme="minorEastAsia" w:hAnsiTheme="minorEastAsia"/>
          <w:szCs w:val="30"/>
          <w:shd w:val="clear" w:color="auto" w:fill="FFFFFF"/>
        </w:rPr>
        <w:t>、《装配式混凝土结构技术规程》</w:t>
      </w:r>
      <w:r>
        <w:rPr>
          <w:rFonts w:eastAsiaTheme="minorEastAsia"/>
          <w:szCs w:val="30"/>
          <w:shd w:val="clear" w:color="auto" w:fill="FFFFFF"/>
        </w:rPr>
        <w:t>JGJ1</w:t>
      </w:r>
      <w:r>
        <w:rPr>
          <w:rFonts w:eastAsiaTheme="minorEastAsia" w:hAnsiTheme="minorEastAsia"/>
          <w:szCs w:val="30"/>
          <w:shd w:val="clear" w:color="auto" w:fill="FFFFFF"/>
        </w:rPr>
        <w:t>和现行浙江省工程建设标准《叠合板式混凝土剪力墙结构技术规程》</w:t>
      </w:r>
      <w:r>
        <w:rPr>
          <w:rFonts w:eastAsiaTheme="minorEastAsia"/>
          <w:szCs w:val="30"/>
          <w:shd w:val="clear" w:color="auto" w:fill="FFFFFF"/>
        </w:rPr>
        <w:t>DB 33/T 1120</w:t>
      </w:r>
      <w:r>
        <w:rPr>
          <w:rFonts w:eastAsiaTheme="minorEastAsia" w:hAnsiTheme="minorEastAsia"/>
          <w:szCs w:val="30"/>
          <w:shd w:val="clear" w:color="auto" w:fill="FFFFFF"/>
        </w:rPr>
        <w:t>等标准的规定。装配式混凝土结构主要包括装配整体式框架结构、装配整体式剪力墙结构、装配整体式框架</w:t>
      </w:r>
      <w:r>
        <w:rPr>
          <w:rFonts w:eastAsiaTheme="minorEastAsia"/>
          <w:szCs w:val="30"/>
          <w:shd w:val="clear" w:color="auto" w:fill="FFFFFF"/>
        </w:rPr>
        <w:t>-</w:t>
      </w:r>
      <w:r>
        <w:rPr>
          <w:rFonts w:eastAsiaTheme="minorEastAsia" w:hAnsiTheme="minorEastAsia"/>
          <w:szCs w:val="30"/>
          <w:shd w:val="clear" w:color="auto" w:fill="FFFFFF"/>
        </w:rPr>
        <w:t>现浇剪力墙结构、装配整体式框架</w:t>
      </w:r>
      <w:r>
        <w:rPr>
          <w:rFonts w:eastAsiaTheme="minorEastAsia"/>
          <w:szCs w:val="30"/>
          <w:shd w:val="clear" w:color="auto" w:fill="FFFFFF"/>
        </w:rPr>
        <w:t>-</w:t>
      </w:r>
      <w:r>
        <w:rPr>
          <w:rFonts w:eastAsiaTheme="minorEastAsia" w:hAnsiTheme="minorEastAsia"/>
          <w:szCs w:val="30"/>
          <w:shd w:val="clear" w:color="auto" w:fill="FFFFFF"/>
        </w:rPr>
        <w:t>现浇核心筒结构、装配整体式部分框支剪力墙结构、叠合板式混凝土剪力墙结构等。这里所指的整体式包含全装配式。</w:t>
      </w:r>
    </w:p>
    <w:p w:rsidR="00512332" w:rsidRDefault="00E80EF5">
      <w:pPr>
        <w:rPr>
          <w:rFonts w:eastAsiaTheme="minorEastAsia"/>
          <w:szCs w:val="30"/>
          <w:shd w:val="clear" w:color="auto" w:fill="FFFFFF"/>
        </w:rPr>
      </w:pPr>
      <w:r>
        <w:rPr>
          <w:rFonts w:eastAsiaTheme="minorEastAsia" w:hAnsiTheme="minorEastAsia"/>
          <w:szCs w:val="30"/>
          <w:shd w:val="clear" w:color="auto" w:fill="FFFFFF"/>
        </w:rPr>
        <w:t>装配式钢结构建筑应符合国家现行标准</w:t>
      </w:r>
      <w:r>
        <w:rPr>
          <w:rFonts w:eastAsiaTheme="minorEastAsia" w:hAnsiTheme="minorEastAsia"/>
          <w:szCs w:val="30"/>
          <w:shd w:val="clear" w:color="auto" w:fill="FFFFFF"/>
        </w:rPr>
        <w:t>《装配式钢结构建筑》</w:t>
      </w:r>
      <w:r>
        <w:rPr>
          <w:rFonts w:eastAsiaTheme="minorEastAsia"/>
          <w:szCs w:val="30"/>
          <w:shd w:val="clear" w:color="auto" w:fill="FFFFFF"/>
        </w:rPr>
        <w:t>GB/T 51232</w:t>
      </w:r>
      <w:r>
        <w:rPr>
          <w:rFonts w:eastAsiaTheme="minorEastAsia" w:hAnsiTheme="minorEastAsia"/>
          <w:szCs w:val="30"/>
          <w:shd w:val="clear" w:color="auto" w:fill="FFFFFF"/>
        </w:rPr>
        <w:t>、《高层民用建筑钢结构技术规程》</w:t>
      </w:r>
      <w:r>
        <w:rPr>
          <w:rFonts w:eastAsiaTheme="minorEastAsia"/>
          <w:szCs w:val="30"/>
          <w:shd w:val="clear" w:color="auto" w:fill="FFFFFF"/>
        </w:rPr>
        <w:t>JGJ 99</w:t>
      </w:r>
      <w:r>
        <w:rPr>
          <w:rFonts w:eastAsiaTheme="minorEastAsia" w:hAnsiTheme="minorEastAsia"/>
          <w:szCs w:val="30"/>
          <w:shd w:val="clear" w:color="auto" w:fill="FFFFFF"/>
        </w:rPr>
        <w:t>和现行浙江省工程建设标准《高层钢结构住宅设计规范》</w:t>
      </w:r>
      <w:r>
        <w:rPr>
          <w:rFonts w:eastAsiaTheme="minorEastAsia"/>
          <w:szCs w:val="30"/>
          <w:shd w:val="clear" w:color="auto" w:fill="FFFFFF"/>
        </w:rPr>
        <w:t xml:space="preserve">DB 33/T1133 </w:t>
      </w:r>
      <w:r>
        <w:rPr>
          <w:rFonts w:eastAsiaTheme="minorEastAsia" w:hAnsiTheme="minorEastAsia"/>
          <w:szCs w:val="30"/>
          <w:shd w:val="clear" w:color="auto" w:fill="FFFFFF"/>
        </w:rPr>
        <w:t>等标准的规定。装配式钢结构可采用钢框架结构、钢框架</w:t>
      </w:r>
      <w:r>
        <w:rPr>
          <w:rFonts w:eastAsiaTheme="minorEastAsia"/>
          <w:szCs w:val="30"/>
          <w:shd w:val="clear" w:color="auto" w:fill="FFFFFF"/>
        </w:rPr>
        <w:t>-</w:t>
      </w:r>
      <w:r>
        <w:rPr>
          <w:rFonts w:eastAsiaTheme="minorEastAsia" w:hAnsiTheme="minorEastAsia"/>
          <w:szCs w:val="30"/>
          <w:shd w:val="clear" w:color="auto" w:fill="FFFFFF"/>
        </w:rPr>
        <w:t>支撑结构、钢框架</w:t>
      </w:r>
      <w:r>
        <w:rPr>
          <w:rFonts w:eastAsiaTheme="minorEastAsia"/>
          <w:szCs w:val="30"/>
          <w:shd w:val="clear" w:color="auto" w:fill="FFFFFF"/>
        </w:rPr>
        <w:t>-</w:t>
      </w:r>
      <w:r>
        <w:rPr>
          <w:rFonts w:eastAsiaTheme="minorEastAsia" w:hAnsiTheme="minorEastAsia"/>
          <w:szCs w:val="30"/>
          <w:shd w:val="clear" w:color="auto" w:fill="FFFFFF"/>
        </w:rPr>
        <w:t>延性墙板结构、筒体结构、巨型结构、交错桁架结构、门式刚架结构、低层冷弯薄壁型钢结构等。钢框架是具有抗弯能力的钢框架，框架柱可采用钢柱或钢管混凝土柱；钢框架</w:t>
      </w:r>
      <w:r>
        <w:rPr>
          <w:rFonts w:eastAsiaTheme="minorEastAsia"/>
          <w:szCs w:val="30"/>
          <w:shd w:val="clear" w:color="auto" w:fill="FFFFFF"/>
        </w:rPr>
        <w:t>-</w:t>
      </w:r>
      <w:r>
        <w:rPr>
          <w:rFonts w:eastAsiaTheme="minorEastAsia" w:hAnsiTheme="minorEastAsia"/>
          <w:szCs w:val="30"/>
          <w:shd w:val="clear" w:color="auto" w:fill="FFFFFF"/>
        </w:rPr>
        <w:t>支撑结构中的支撑在设计中可采用中心支撑、偏心支撑和屈曲约束支撑；钢框架</w:t>
      </w:r>
      <w:r>
        <w:rPr>
          <w:rFonts w:eastAsiaTheme="minorEastAsia"/>
          <w:szCs w:val="30"/>
          <w:shd w:val="clear" w:color="auto" w:fill="FFFFFF"/>
        </w:rPr>
        <w:t>-</w:t>
      </w:r>
      <w:r>
        <w:rPr>
          <w:rFonts w:eastAsiaTheme="minorEastAsia" w:hAnsiTheme="minorEastAsia"/>
          <w:szCs w:val="30"/>
          <w:shd w:val="clear" w:color="auto" w:fill="FFFFFF"/>
        </w:rPr>
        <w:t>延性墙板结构中的延性墙板主要指钢板剪力墙、钢板组合剪力墙</w:t>
      </w:r>
      <w:r>
        <w:rPr>
          <w:rFonts w:eastAsiaTheme="minorEastAsia" w:hAnsiTheme="minorEastAsia"/>
          <w:szCs w:val="30"/>
          <w:shd w:val="clear" w:color="auto" w:fill="FFFFFF"/>
        </w:rPr>
        <w:t>、钢框架内填竖缝混凝土剪力墙等；筒体结构中的筒是指钢筒，体系包括框筒、筒中筒、桁架筒、束筒；巨型结构主要包括巨型框架和巨型桁架结构。</w:t>
      </w:r>
    </w:p>
    <w:p w:rsidR="00512332" w:rsidRDefault="00E80EF5">
      <w:pPr>
        <w:rPr>
          <w:rFonts w:eastAsiaTheme="minorEastAsia"/>
          <w:szCs w:val="30"/>
          <w:shd w:val="clear" w:color="auto" w:fill="FFFFFF"/>
        </w:rPr>
      </w:pPr>
      <w:r>
        <w:rPr>
          <w:rFonts w:eastAsiaTheme="minorEastAsia" w:hAnsiTheme="minorEastAsia"/>
          <w:szCs w:val="30"/>
          <w:shd w:val="clear" w:color="auto" w:fill="FFFFFF"/>
        </w:rPr>
        <w:t>部件是在工厂或现场预先生产制作完成，构成建筑结构系统的结构构件及其他构件的统称。部品是由工厂生产、构成外围护系统、设备与管线系统、内装系统的建筑单一产品或复合产品组装而成的功能单元的统称。</w:t>
      </w:r>
    </w:p>
    <w:p w:rsidR="00512332" w:rsidRDefault="00E80EF5">
      <w:pPr>
        <w:rPr>
          <w:rFonts w:eastAsiaTheme="minorEastAsia"/>
          <w:b/>
          <w:szCs w:val="30"/>
        </w:rPr>
      </w:pPr>
      <w:r>
        <w:rPr>
          <w:rFonts w:eastAsiaTheme="minorEastAsia"/>
          <w:b/>
          <w:szCs w:val="30"/>
        </w:rPr>
        <w:t xml:space="preserve">2.0.6 </w:t>
      </w:r>
      <w:r>
        <w:rPr>
          <w:rFonts w:eastAsiaTheme="minorEastAsia" w:hAnsiTheme="minorEastAsia"/>
          <w:szCs w:val="30"/>
          <w:shd w:val="clear" w:color="auto" w:fill="FFFFFF"/>
        </w:rPr>
        <w:t>集成厨房多指居住建筑中的厨房，本条强调了厨房的</w:t>
      </w:r>
      <w:r>
        <w:rPr>
          <w:rFonts w:eastAsiaTheme="minorEastAsia"/>
          <w:szCs w:val="30"/>
          <w:shd w:val="clear" w:color="auto" w:fill="FFFFFF"/>
        </w:rPr>
        <w:t>“</w:t>
      </w:r>
      <w:r>
        <w:rPr>
          <w:rFonts w:eastAsiaTheme="minorEastAsia" w:hAnsiTheme="minorEastAsia"/>
          <w:szCs w:val="30"/>
          <w:shd w:val="clear" w:color="auto" w:fill="FFFFFF"/>
        </w:rPr>
        <w:t>集成性</w:t>
      </w:r>
      <w:r>
        <w:rPr>
          <w:rFonts w:eastAsiaTheme="minorEastAsia"/>
          <w:szCs w:val="30"/>
          <w:shd w:val="clear" w:color="auto" w:fill="FFFFFF"/>
        </w:rPr>
        <w:t>”</w:t>
      </w:r>
      <w:r>
        <w:rPr>
          <w:rFonts w:eastAsiaTheme="minorEastAsia" w:hAnsiTheme="minorEastAsia"/>
          <w:szCs w:val="30"/>
          <w:shd w:val="clear" w:color="auto" w:fill="FFFFFF"/>
        </w:rPr>
        <w:lastRenderedPageBreak/>
        <w:t>和</w:t>
      </w:r>
      <w:r>
        <w:rPr>
          <w:rFonts w:eastAsiaTheme="minorEastAsia"/>
          <w:szCs w:val="30"/>
          <w:shd w:val="clear" w:color="auto" w:fill="FFFFFF"/>
        </w:rPr>
        <w:t>“</w:t>
      </w:r>
      <w:r>
        <w:rPr>
          <w:rFonts w:eastAsiaTheme="minorEastAsia" w:hAnsiTheme="minorEastAsia"/>
          <w:szCs w:val="30"/>
          <w:shd w:val="clear" w:color="auto" w:fill="FFFFFF"/>
        </w:rPr>
        <w:t>功能性</w:t>
      </w:r>
      <w:r>
        <w:rPr>
          <w:rFonts w:eastAsiaTheme="minorEastAsia"/>
          <w:szCs w:val="30"/>
          <w:shd w:val="clear" w:color="auto" w:fill="FFFFFF"/>
        </w:rPr>
        <w:t>”</w:t>
      </w:r>
      <w:r>
        <w:rPr>
          <w:rFonts w:eastAsiaTheme="minorEastAsia" w:hAnsiTheme="minorEastAsia"/>
          <w:szCs w:val="30"/>
          <w:shd w:val="clear" w:color="auto" w:fill="FFFFFF"/>
        </w:rPr>
        <w:t>。集成厨房是装配式建筑装饰装修的重要组成部分，其设计应按照标准化、系列化原则，并符合干式工法施工的要求，在制作和加工阶段实现装配化。当评价项目各楼层厨房中的橱柜、厨房设备等全部安装到位，且墙面、吊顶和楼面采用干式工法的应用比例大于</w:t>
      </w:r>
      <w:r>
        <w:rPr>
          <w:rFonts w:eastAsiaTheme="minorEastAsia"/>
          <w:szCs w:val="30"/>
          <w:shd w:val="clear" w:color="auto" w:fill="FFFFFF"/>
        </w:rPr>
        <w:t>70</w:t>
      </w:r>
      <w:r>
        <w:rPr>
          <w:rFonts w:eastAsiaTheme="minorEastAsia" w:hAnsiTheme="minorEastAsia"/>
          <w:szCs w:val="30"/>
          <w:shd w:val="clear" w:color="auto" w:fill="FFFFFF"/>
        </w:rPr>
        <w:t>％时，应认定为采用了集成厨房；当比例大于</w:t>
      </w:r>
      <w:r>
        <w:rPr>
          <w:rFonts w:eastAsiaTheme="minorEastAsia"/>
          <w:szCs w:val="30"/>
          <w:shd w:val="clear" w:color="auto" w:fill="FFFFFF"/>
        </w:rPr>
        <w:t>90</w:t>
      </w:r>
      <w:r>
        <w:rPr>
          <w:rFonts w:eastAsiaTheme="minorEastAsia" w:hAnsiTheme="minorEastAsia"/>
          <w:szCs w:val="30"/>
          <w:shd w:val="clear" w:color="auto" w:fill="FFFFFF"/>
        </w:rPr>
        <w:t>％时，可认定为集成式厨房。</w:t>
      </w:r>
    </w:p>
    <w:p w:rsidR="00512332" w:rsidRDefault="00E80EF5">
      <w:pPr>
        <w:rPr>
          <w:rFonts w:eastAsiaTheme="minorEastAsia"/>
          <w:szCs w:val="30"/>
          <w:shd w:val="clear" w:color="auto" w:fill="FFFFFF"/>
        </w:rPr>
      </w:pPr>
      <w:r>
        <w:rPr>
          <w:rFonts w:eastAsiaTheme="minorEastAsia"/>
          <w:b/>
          <w:szCs w:val="30"/>
        </w:rPr>
        <w:t xml:space="preserve">2.0.7 </w:t>
      </w:r>
      <w:r>
        <w:rPr>
          <w:rFonts w:eastAsiaTheme="minorEastAsia" w:hAnsiTheme="minorEastAsia"/>
          <w:szCs w:val="30"/>
          <w:shd w:val="clear" w:color="auto" w:fill="FFFFFF"/>
        </w:rPr>
        <w:t>集成卫生间充分考虑了卫生间空间的多样组合或分隔，包括多器具的集成卫生间产品和仅有洗面、洗浴或便溺等单一功能模块的集成卫生间产品。集成卫生间是装配式建筑装饰装修的重要组成部分，其设计应按照标准化、</w:t>
      </w:r>
      <w:r>
        <w:rPr>
          <w:rFonts w:eastAsiaTheme="minorEastAsia" w:hAnsiTheme="minorEastAsia"/>
          <w:szCs w:val="30"/>
          <w:shd w:val="clear" w:color="auto" w:fill="FFFFFF"/>
        </w:rPr>
        <w:t>系列化原则，并符合干式工法施工的要求，在制作和加工阶段实现装配化。当评价项目各楼层卫生间中的洁具设备等全部安装到位，且墙面、吊顶和楼面采用干式工法的应用比例大于</w:t>
      </w:r>
      <w:r>
        <w:rPr>
          <w:rFonts w:eastAsiaTheme="minorEastAsia"/>
          <w:szCs w:val="30"/>
          <w:shd w:val="clear" w:color="auto" w:fill="FFFFFF"/>
        </w:rPr>
        <w:t>70</w:t>
      </w:r>
      <w:r>
        <w:rPr>
          <w:rFonts w:eastAsiaTheme="minorEastAsia" w:hAnsiTheme="minorEastAsia"/>
          <w:szCs w:val="30"/>
          <w:shd w:val="clear" w:color="auto" w:fill="FFFFFF"/>
        </w:rPr>
        <w:t>％时，应认定为采用了集成卫生间；当比例大于</w:t>
      </w:r>
      <w:r>
        <w:rPr>
          <w:rFonts w:eastAsiaTheme="minorEastAsia"/>
          <w:szCs w:val="30"/>
          <w:shd w:val="clear" w:color="auto" w:fill="FFFFFF"/>
        </w:rPr>
        <w:t>90</w:t>
      </w:r>
      <w:r>
        <w:rPr>
          <w:rFonts w:eastAsiaTheme="minorEastAsia" w:hAnsiTheme="minorEastAsia"/>
          <w:szCs w:val="30"/>
          <w:shd w:val="clear" w:color="auto" w:fill="FFFFFF"/>
        </w:rPr>
        <w:t>％时，可认定为集成式卫生间。</w:t>
      </w:r>
    </w:p>
    <w:p w:rsidR="00512332" w:rsidRDefault="00E80EF5">
      <w:pPr>
        <w:pStyle w:val="2"/>
        <w:spacing w:after="600" w:line="400" w:lineRule="exact"/>
        <w:ind w:firstLine="643"/>
        <w:jc w:val="center"/>
        <w:rPr>
          <w:rFonts w:ascii="Times New Roman" w:eastAsia="宋体" w:hAnsi="Times New Roman"/>
        </w:rPr>
      </w:pPr>
      <w:bookmarkStart w:id="78" w:name="_Toc532848604"/>
      <w:bookmarkStart w:id="79" w:name="_Toc432494967"/>
      <w:bookmarkStart w:id="80" w:name="_Toc428866036"/>
      <w:bookmarkStart w:id="81" w:name="_Toc431905738"/>
      <w:bookmarkStart w:id="82" w:name="_Toc532848529"/>
      <w:bookmarkStart w:id="83" w:name="_Toc455312887"/>
      <w:bookmarkStart w:id="84" w:name="_Toc429938856"/>
      <w:r>
        <w:rPr>
          <w:rFonts w:ascii="Times New Roman" w:eastAsia="宋体" w:hAnsi="Times New Roman"/>
        </w:rPr>
        <w:t xml:space="preserve">3  </w:t>
      </w:r>
      <w:r>
        <w:rPr>
          <w:rFonts w:ascii="Times New Roman" w:eastAsia="宋体" w:hAnsi="Times New Roman"/>
        </w:rPr>
        <w:t>基本规定</w:t>
      </w:r>
      <w:bookmarkEnd w:id="78"/>
      <w:bookmarkEnd w:id="79"/>
      <w:bookmarkEnd w:id="80"/>
      <w:bookmarkEnd w:id="81"/>
      <w:bookmarkEnd w:id="82"/>
      <w:bookmarkEnd w:id="83"/>
      <w:bookmarkEnd w:id="84"/>
    </w:p>
    <w:p w:rsidR="00512332" w:rsidRDefault="00E80EF5">
      <w:pPr>
        <w:rPr>
          <w:szCs w:val="30"/>
        </w:rPr>
      </w:pPr>
      <w:r>
        <w:rPr>
          <w:b/>
          <w:bCs/>
          <w:color w:val="000000" w:themeColor="text1"/>
          <w:szCs w:val="30"/>
        </w:rPr>
        <w:t>3.0.2</w:t>
      </w:r>
      <w:r>
        <w:rPr>
          <w:szCs w:val="30"/>
        </w:rPr>
        <w:t>单体建筑由主楼和裙房组成并可按不同计算单元时，应通过使用功能划分且以结构缝分隔。</w:t>
      </w:r>
    </w:p>
    <w:p w:rsidR="00512332" w:rsidRDefault="00E80EF5">
      <w:pPr>
        <w:rPr>
          <w:szCs w:val="30"/>
        </w:rPr>
      </w:pPr>
      <w:r>
        <w:rPr>
          <w:b/>
          <w:bCs/>
          <w:szCs w:val="30"/>
        </w:rPr>
        <w:t>3.0.3</w:t>
      </w:r>
      <w:r>
        <w:rPr>
          <w:bCs/>
          <w:szCs w:val="30"/>
        </w:rPr>
        <w:t xml:space="preserve"> </w:t>
      </w:r>
      <w:r>
        <w:rPr>
          <w:szCs w:val="30"/>
        </w:rPr>
        <w:t>装配式钢结构建筑只需满足装配率要求；装配式混凝土建筑应同时满足装配率和预制率要求（其中</w:t>
      </w:r>
      <w:r>
        <w:rPr>
          <w:szCs w:val="30"/>
        </w:rPr>
        <w:t>2019</w:t>
      </w:r>
      <w:r>
        <w:rPr>
          <w:szCs w:val="30"/>
        </w:rPr>
        <w:t>年前立项或取得土地的项目可仅满足装配率或预制率要求）。</w:t>
      </w:r>
      <w:r>
        <w:rPr>
          <w:szCs w:val="30"/>
        </w:rPr>
        <w:t xml:space="preserve"> </w:t>
      </w:r>
    </w:p>
    <w:p w:rsidR="00512332" w:rsidRDefault="00E80EF5">
      <w:pPr>
        <w:rPr>
          <w:szCs w:val="30"/>
          <w:shd w:val="clear" w:color="auto" w:fill="FFFFFF"/>
        </w:rPr>
      </w:pPr>
      <w:r>
        <w:rPr>
          <w:szCs w:val="30"/>
          <w:shd w:val="clear" w:color="auto" w:fill="FFFFFF"/>
        </w:rPr>
        <w:t>根据《宁波市人民政府办公厅关于进一步加快装配式建筑发展的通知》甬政办发〔</w:t>
      </w:r>
      <w:r>
        <w:rPr>
          <w:szCs w:val="30"/>
          <w:shd w:val="clear" w:color="auto" w:fill="FFFFFF"/>
        </w:rPr>
        <w:t>2017</w:t>
      </w:r>
      <w:r>
        <w:rPr>
          <w:szCs w:val="30"/>
          <w:shd w:val="clear" w:color="auto" w:fill="FFFFFF"/>
        </w:rPr>
        <w:t>〕</w:t>
      </w:r>
      <w:r>
        <w:rPr>
          <w:szCs w:val="30"/>
          <w:shd w:val="clear" w:color="auto" w:fill="FFFFFF"/>
        </w:rPr>
        <w:t>30</w:t>
      </w:r>
      <w:r>
        <w:rPr>
          <w:szCs w:val="30"/>
          <w:shd w:val="clear" w:color="auto" w:fill="FFFFFF"/>
        </w:rPr>
        <w:t>号文件规定：</w:t>
      </w:r>
      <w:r>
        <w:rPr>
          <w:szCs w:val="30"/>
          <w:shd w:val="clear" w:color="auto" w:fill="FFFFFF"/>
        </w:rPr>
        <w:t xml:space="preserve"> 2017-2018</w:t>
      </w:r>
      <w:r>
        <w:rPr>
          <w:szCs w:val="30"/>
          <w:shd w:val="clear" w:color="auto" w:fill="FFFFFF"/>
        </w:rPr>
        <w:t>年单体建筑预制率不低于</w:t>
      </w:r>
      <w:r>
        <w:rPr>
          <w:szCs w:val="30"/>
          <w:shd w:val="clear" w:color="auto" w:fill="FFFFFF"/>
        </w:rPr>
        <w:t>25%</w:t>
      </w:r>
      <w:r>
        <w:rPr>
          <w:szCs w:val="30"/>
          <w:shd w:val="clear" w:color="auto" w:fill="FFFFFF"/>
        </w:rPr>
        <w:t>；</w:t>
      </w:r>
      <w:r>
        <w:rPr>
          <w:szCs w:val="30"/>
          <w:shd w:val="clear" w:color="auto" w:fill="FFFFFF"/>
        </w:rPr>
        <w:t>2019</w:t>
      </w:r>
      <w:r>
        <w:rPr>
          <w:szCs w:val="30"/>
          <w:shd w:val="clear" w:color="auto" w:fill="FFFFFF"/>
        </w:rPr>
        <w:t>年</w:t>
      </w:r>
      <w:r>
        <w:rPr>
          <w:szCs w:val="30"/>
          <w:shd w:val="clear" w:color="auto" w:fill="FFFFFF"/>
        </w:rPr>
        <w:t>~2020</w:t>
      </w:r>
      <w:r>
        <w:rPr>
          <w:szCs w:val="30"/>
          <w:shd w:val="clear" w:color="auto" w:fill="FFFFFF"/>
        </w:rPr>
        <w:t>年单体建筑预制率不低于</w:t>
      </w:r>
      <w:r>
        <w:rPr>
          <w:szCs w:val="30"/>
          <w:shd w:val="clear" w:color="auto" w:fill="FFFFFF"/>
        </w:rPr>
        <w:t>40%</w:t>
      </w:r>
      <w:r>
        <w:rPr>
          <w:szCs w:val="30"/>
          <w:shd w:val="clear" w:color="auto" w:fill="FFFFFF"/>
        </w:rPr>
        <w:t>。《宁波市人民政府办公厅印发关于推进新型建筑工业化项目建设的实施意见》（甬政办发</w:t>
      </w:r>
      <w:r>
        <w:rPr>
          <w:szCs w:val="30"/>
          <w:shd w:val="clear" w:color="auto" w:fill="FFFFFF"/>
        </w:rPr>
        <w:t>2016</w:t>
      </w:r>
      <w:r>
        <w:rPr>
          <w:szCs w:val="30"/>
          <w:shd w:val="clear" w:color="auto" w:fill="FFFFFF"/>
        </w:rPr>
        <w:t>〕</w:t>
      </w:r>
      <w:r>
        <w:rPr>
          <w:szCs w:val="30"/>
          <w:shd w:val="clear" w:color="auto" w:fill="FFFFFF"/>
        </w:rPr>
        <w:t>7</w:t>
      </w:r>
      <w:r>
        <w:rPr>
          <w:szCs w:val="30"/>
          <w:shd w:val="clear" w:color="auto" w:fill="FFFFFF"/>
        </w:rPr>
        <w:t>号）文件的要求，房地产住宅项目应采用不小于外墙总面积</w:t>
      </w:r>
      <w:r>
        <w:rPr>
          <w:szCs w:val="30"/>
          <w:shd w:val="clear" w:color="auto" w:fill="FFFFFF"/>
        </w:rPr>
        <w:t>50%</w:t>
      </w:r>
      <w:r>
        <w:rPr>
          <w:szCs w:val="30"/>
          <w:shd w:val="clear" w:color="auto" w:fill="FFFFFF"/>
        </w:rPr>
        <w:t>的预制外墙。</w:t>
      </w:r>
    </w:p>
    <w:p w:rsidR="00512332" w:rsidRDefault="00E80EF5">
      <w:pPr>
        <w:rPr>
          <w:szCs w:val="30"/>
          <w:shd w:val="clear" w:color="auto" w:fill="FFFFFF"/>
        </w:rPr>
      </w:pPr>
      <w:r>
        <w:rPr>
          <w:b/>
          <w:szCs w:val="30"/>
          <w:shd w:val="clear" w:color="auto" w:fill="FFFFFF"/>
        </w:rPr>
        <w:t>3.0.8</w:t>
      </w:r>
      <w:r>
        <w:rPr>
          <w:szCs w:val="30"/>
          <w:shd w:val="clear" w:color="auto" w:fill="FFFFFF"/>
        </w:rPr>
        <w:t>预制外墙板是装配式混凝土建筑的主要预制构件之一，也是预制构件中成本单价最高的构件之一。它的标准化、系列化、模数化有利于降低生产和安装成本。根据</w:t>
      </w:r>
      <w:r>
        <w:rPr>
          <w:szCs w:val="30"/>
          <w:shd w:val="clear" w:color="auto" w:fill="FFFFFF"/>
        </w:rPr>
        <w:t>《建筑模数协调统一标准》</w:t>
      </w:r>
      <w:r>
        <w:rPr>
          <w:szCs w:val="30"/>
          <w:shd w:val="clear" w:color="auto" w:fill="FFFFFF"/>
        </w:rPr>
        <w:t>GBJ2-1986</w:t>
      </w:r>
      <w:r>
        <w:rPr>
          <w:szCs w:val="30"/>
          <w:shd w:val="clear" w:color="auto" w:fill="FFFFFF"/>
        </w:rPr>
        <w:t>，预制外墙板的基本模数应为</w:t>
      </w:r>
      <w:r>
        <w:rPr>
          <w:szCs w:val="30"/>
          <w:shd w:val="clear" w:color="auto" w:fill="FFFFFF"/>
        </w:rPr>
        <w:t>100mm</w:t>
      </w:r>
      <w:r>
        <w:rPr>
          <w:szCs w:val="30"/>
          <w:shd w:val="clear" w:color="auto" w:fill="FFFFFF"/>
        </w:rPr>
        <w:t>，墙板厚度尺寸可采用非模数化尺寸，即分模数。</w:t>
      </w:r>
    </w:p>
    <w:p w:rsidR="00512332" w:rsidRDefault="00512332">
      <w:pPr>
        <w:ind w:firstLine="602"/>
        <w:rPr>
          <w:b/>
          <w:bCs/>
          <w:szCs w:val="30"/>
        </w:rPr>
      </w:pPr>
    </w:p>
    <w:p w:rsidR="00512332" w:rsidRDefault="00512332">
      <w:pPr>
        <w:ind w:firstLineChars="200" w:firstLine="600"/>
        <w:rPr>
          <w:szCs w:val="28"/>
        </w:rPr>
        <w:sectPr w:rsidR="00512332">
          <w:pgSz w:w="11906" w:h="16838"/>
          <w:pgMar w:top="1440" w:right="1474" w:bottom="1440" w:left="1474" w:header="851" w:footer="992" w:gutter="0"/>
          <w:cols w:space="425"/>
          <w:docGrid w:linePitch="312"/>
        </w:sectPr>
      </w:pPr>
    </w:p>
    <w:p w:rsidR="00512332" w:rsidRDefault="00E80EF5">
      <w:pPr>
        <w:pStyle w:val="2"/>
        <w:spacing w:after="600" w:line="400" w:lineRule="exact"/>
        <w:ind w:firstLine="643"/>
        <w:jc w:val="center"/>
        <w:rPr>
          <w:rFonts w:ascii="Times New Roman" w:eastAsia="宋体" w:hAnsi="Times New Roman"/>
        </w:rPr>
      </w:pPr>
      <w:bookmarkStart w:id="85" w:name="_Toc455312888"/>
      <w:bookmarkStart w:id="86" w:name="_Toc432494968"/>
      <w:bookmarkStart w:id="87" w:name="_Toc429938857"/>
      <w:bookmarkStart w:id="88" w:name="_Toc428866037"/>
      <w:bookmarkStart w:id="89" w:name="_Toc431905739"/>
      <w:bookmarkStart w:id="90" w:name="_Toc532848530"/>
      <w:bookmarkStart w:id="91" w:name="_Toc532848605"/>
      <w:r>
        <w:rPr>
          <w:rFonts w:ascii="Times New Roman" w:eastAsia="宋体" w:hAnsi="Times New Roman"/>
        </w:rPr>
        <w:lastRenderedPageBreak/>
        <w:t xml:space="preserve">4  </w:t>
      </w:r>
      <w:bookmarkEnd w:id="85"/>
      <w:bookmarkEnd w:id="86"/>
      <w:bookmarkEnd w:id="87"/>
      <w:bookmarkEnd w:id="88"/>
      <w:bookmarkEnd w:id="89"/>
      <w:r>
        <w:rPr>
          <w:rFonts w:ascii="Times New Roman" w:eastAsia="宋体" w:hAnsi="Times New Roman" w:hint="eastAsia"/>
        </w:rPr>
        <w:t>装配率与预制率计算</w:t>
      </w:r>
      <w:bookmarkEnd w:id="90"/>
      <w:bookmarkEnd w:id="91"/>
    </w:p>
    <w:p w:rsidR="00512332" w:rsidRDefault="00E80EF5">
      <w:pPr>
        <w:pStyle w:val="3"/>
        <w:spacing w:line="400" w:lineRule="exact"/>
        <w:ind w:firstLine="642"/>
        <w:jc w:val="center"/>
        <w:rPr>
          <w:szCs w:val="30"/>
        </w:rPr>
      </w:pPr>
      <w:bookmarkStart w:id="92" w:name="_Toc429938858"/>
      <w:bookmarkStart w:id="93" w:name="_Toc428866038"/>
      <w:bookmarkStart w:id="94" w:name="_Toc532848606"/>
      <w:bookmarkStart w:id="95" w:name="_Toc431905740"/>
      <w:bookmarkStart w:id="96" w:name="_Toc432494969"/>
      <w:bookmarkStart w:id="97" w:name="_Toc532848531"/>
      <w:bookmarkStart w:id="98" w:name="_Toc455312889"/>
      <w:r>
        <w:rPr>
          <w:szCs w:val="30"/>
        </w:rPr>
        <w:t>4.1</w:t>
      </w:r>
      <w:r>
        <w:rPr>
          <w:rFonts w:hint="eastAsia"/>
          <w:szCs w:val="30"/>
        </w:rPr>
        <w:t>装配率计算</w:t>
      </w:r>
      <w:bookmarkEnd w:id="92"/>
      <w:bookmarkEnd w:id="93"/>
      <w:bookmarkEnd w:id="94"/>
      <w:bookmarkEnd w:id="95"/>
      <w:bookmarkEnd w:id="96"/>
      <w:bookmarkEnd w:id="97"/>
      <w:bookmarkEnd w:id="98"/>
    </w:p>
    <w:p w:rsidR="00512332" w:rsidRDefault="00E80EF5">
      <w:pPr>
        <w:rPr>
          <w:szCs w:val="30"/>
          <w:shd w:val="clear" w:color="auto" w:fill="FFFFFF"/>
        </w:rPr>
      </w:pPr>
      <w:r>
        <w:rPr>
          <w:b/>
          <w:szCs w:val="30"/>
          <w:shd w:val="clear" w:color="auto" w:fill="FFFFFF"/>
        </w:rPr>
        <w:t>4.1.1</w:t>
      </w:r>
      <w:r>
        <w:rPr>
          <w:szCs w:val="30"/>
          <w:shd w:val="clear" w:color="auto" w:fill="FFFFFF"/>
        </w:rPr>
        <w:t>新型建筑围护墙体的应用对提高建筑质量和品质、建造模式的改变等都具有重要意义，积极引导和逐步推广新型建筑围护墙体也是装配式建筑的重点工作。非砌筑是新型建筑围护墙体的共同特征之一，非砌筑类型墙体包括各种中大型板材、幕墙、木骨架或轻钢龙骨轻集料灌浆墙体等，应满足工厂生产、现场安装、以</w:t>
      </w:r>
      <w:r>
        <w:rPr>
          <w:szCs w:val="30"/>
          <w:shd w:val="clear" w:color="auto" w:fill="FFFFFF"/>
        </w:rPr>
        <w:t>“</w:t>
      </w:r>
      <w:r>
        <w:rPr>
          <w:szCs w:val="30"/>
          <w:shd w:val="clear" w:color="auto" w:fill="FFFFFF"/>
        </w:rPr>
        <w:t>干法</w:t>
      </w:r>
      <w:r>
        <w:rPr>
          <w:szCs w:val="30"/>
          <w:shd w:val="clear" w:color="auto" w:fill="FFFFFF"/>
        </w:rPr>
        <w:t>”</w:t>
      </w:r>
      <w:r>
        <w:rPr>
          <w:szCs w:val="30"/>
          <w:shd w:val="clear" w:color="auto" w:fill="FFFFFF"/>
        </w:rPr>
        <w:t>施工为主的要求。设有内衬墙的金属和石材幕墙、人造板材幕墙，非承重围护墙中非砌筑墙体的应用比例应为幕墙的内衬墙中非砌筑墙体的应用比例。</w:t>
      </w:r>
    </w:p>
    <w:p w:rsidR="00512332" w:rsidRDefault="00E80EF5">
      <w:pPr>
        <w:rPr>
          <w:szCs w:val="30"/>
          <w:shd w:val="clear" w:color="auto" w:fill="FFFFFF"/>
        </w:rPr>
      </w:pPr>
      <w:r>
        <w:rPr>
          <w:szCs w:val="30"/>
          <w:shd w:val="clear" w:color="auto" w:fill="FFFFFF"/>
        </w:rPr>
        <w:t>非承重预制普通混凝土墙板与主体结构宜采用外挂式连接，并应符合国家现行标准《装配式混凝土建筑技</w:t>
      </w:r>
      <w:r>
        <w:rPr>
          <w:szCs w:val="30"/>
          <w:shd w:val="clear" w:color="auto" w:fill="FFFFFF"/>
        </w:rPr>
        <w:t>术标准》</w:t>
      </w:r>
      <w:r>
        <w:rPr>
          <w:szCs w:val="30"/>
          <w:shd w:val="clear" w:color="auto" w:fill="FFFFFF"/>
        </w:rPr>
        <w:t>GB/T 51231</w:t>
      </w:r>
      <w:r>
        <w:rPr>
          <w:szCs w:val="30"/>
          <w:shd w:val="clear" w:color="auto" w:fill="FFFFFF"/>
        </w:rPr>
        <w:t>、《装配式混凝土结构技术规程》</w:t>
      </w:r>
      <w:r>
        <w:rPr>
          <w:szCs w:val="30"/>
          <w:shd w:val="clear" w:color="auto" w:fill="FFFFFF"/>
        </w:rPr>
        <w:t>JGJ1</w:t>
      </w:r>
      <w:r>
        <w:rPr>
          <w:szCs w:val="30"/>
          <w:shd w:val="clear" w:color="auto" w:fill="FFFFFF"/>
        </w:rPr>
        <w:t>等标准的有关规定。轻质条板可采用蒸压加气混凝土墙板、陶粒混凝土板，轻质墙板与主体结构连接可采用内嵌式、外挂式、嵌挂结合等方式。</w:t>
      </w:r>
    </w:p>
    <w:p w:rsidR="00512332" w:rsidRDefault="00E80EF5">
      <w:pPr>
        <w:rPr>
          <w:szCs w:val="30"/>
          <w:shd w:val="clear" w:color="auto" w:fill="FFFFFF"/>
        </w:rPr>
      </w:pPr>
      <w:r>
        <w:rPr>
          <w:szCs w:val="30"/>
          <w:shd w:val="clear" w:color="auto" w:fill="FFFFFF"/>
        </w:rPr>
        <w:t>计算外表面积时，非承重围护墙的墙宽按实取（外挂时，可按墙板宽度计算），不论采用内嵌还是外挂方式，墙高可取建筑层高，不扣除墙体平面内门、窗及预留洞口等的面积。预制外墙不含幕墙但包含工厂预装配或工厂整体浇筑的各类轻质、特种混凝土预制墙板等。实际工程应根据应用情况选择一种方式计算应用比例，确定评价分值。</w:t>
      </w:r>
    </w:p>
    <w:p w:rsidR="00512332" w:rsidRDefault="00E80EF5">
      <w:pPr>
        <w:rPr>
          <w:shd w:val="clear" w:color="auto" w:fill="FFFFFF"/>
        </w:rPr>
      </w:pPr>
      <w:r>
        <w:rPr>
          <w:rFonts w:hint="eastAsia"/>
          <w:b/>
          <w:bCs/>
        </w:rPr>
        <w:t>4.1.14</w:t>
      </w:r>
      <w:r>
        <w:rPr>
          <w:rFonts w:hint="eastAsia"/>
          <w:shd w:val="clear" w:color="auto" w:fill="FFFFFF"/>
        </w:rPr>
        <w:t>内隔墙</w:t>
      </w:r>
      <w:r>
        <w:rPr>
          <w:rFonts w:hint="eastAsia"/>
          <w:shd w:val="clear" w:color="auto" w:fill="FFFFFF"/>
        </w:rPr>
        <w:t>采用墙体、管线、装修一体化强调的是“集成性”。内隔墙从设计阶段就需进行一体化集成设计，在管线综合设计的基础上，实现墙体与管线的集成以及土建与装修的一体化，从而形成“内隔墙系统”。</w:t>
      </w:r>
      <w:r>
        <w:rPr>
          <w:rFonts w:hint="eastAsia"/>
        </w:rPr>
        <w:t>在预制工厂已完成管线开槽、饰面等，工地现场只负责</w:t>
      </w:r>
      <w:r>
        <w:rPr>
          <w:color w:val="000000"/>
        </w:rPr>
        <w:t>墙体</w:t>
      </w:r>
      <w:r>
        <w:rPr>
          <w:rFonts w:hint="eastAsia"/>
        </w:rPr>
        <w:t>拼装。</w:t>
      </w:r>
    </w:p>
    <w:p w:rsidR="00512332" w:rsidRDefault="00E80EF5">
      <w:pPr>
        <w:rPr>
          <w:shd w:val="clear" w:color="auto" w:fill="FFFFFF"/>
        </w:rPr>
      </w:pPr>
      <w:r>
        <w:rPr>
          <w:rFonts w:hint="eastAsia"/>
          <w:shd w:val="clear" w:color="auto" w:fill="FFFFFF"/>
        </w:rPr>
        <w:t>结合当前实际，本标准将内隔墙采用墙体、管线、装修一体化分为两种情况，即内隔墙采用墙体、管线、装修一体化，以及内隔墙采用墙体、管线一体化。实际工程应根据应用情况选择一种方式计算应用比例，确定评价分值。</w:t>
      </w:r>
    </w:p>
    <w:p w:rsidR="00512332" w:rsidRDefault="00512332">
      <w:pPr>
        <w:rPr>
          <w:b/>
        </w:rPr>
      </w:pPr>
    </w:p>
    <w:p w:rsidR="00512332" w:rsidRDefault="00E80EF5">
      <w:pPr>
        <w:pStyle w:val="3"/>
        <w:spacing w:line="400" w:lineRule="exact"/>
        <w:ind w:firstLine="642"/>
        <w:jc w:val="center"/>
        <w:rPr>
          <w:szCs w:val="30"/>
        </w:rPr>
      </w:pPr>
      <w:bookmarkStart w:id="99" w:name="_Toc432494970"/>
      <w:bookmarkStart w:id="100" w:name="_Toc431905741"/>
      <w:bookmarkStart w:id="101" w:name="_Toc428866039"/>
      <w:bookmarkStart w:id="102" w:name="_Toc429938859"/>
      <w:bookmarkStart w:id="103" w:name="_Toc532848607"/>
      <w:bookmarkStart w:id="104" w:name="_Toc455312890"/>
      <w:bookmarkStart w:id="105" w:name="_Toc532848532"/>
      <w:r>
        <w:rPr>
          <w:szCs w:val="30"/>
        </w:rPr>
        <w:lastRenderedPageBreak/>
        <w:t>4.2</w:t>
      </w:r>
      <w:r>
        <w:rPr>
          <w:rFonts w:hint="eastAsia"/>
          <w:szCs w:val="30"/>
        </w:rPr>
        <w:t>预制率计算</w:t>
      </w:r>
      <w:bookmarkEnd w:id="99"/>
      <w:bookmarkEnd w:id="100"/>
      <w:bookmarkEnd w:id="101"/>
      <w:bookmarkEnd w:id="102"/>
      <w:bookmarkEnd w:id="103"/>
      <w:bookmarkEnd w:id="104"/>
      <w:bookmarkEnd w:id="105"/>
    </w:p>
    <w:p w:rsidR="00512332" w:rsidRDefault="00E80EF5">
      <w:pPr>
        <w:rPr>
          <w:shd w:val="clear" w:color="auto" w:fill="FFFFFF"/>
        </w:rPr>
      </w:pPr>
      <w:r>
        <w:rPr>
          <w:rFonts w:hint="eastAsia"/>
          <w:b/>
          <w:bCs/>
        </w:rPr>
        <w:t xml:space="preserve">4.2.4 </w:t>
      </w:r>
      <w:r>
        <w:rPr>
          <w:rFonts w:hint="eastAsia"/>
          <w:shd w:val="clear" w:color="auto" w:fill="FFFFFF"/>
        </w:rPr>
        <w:t>规格相同的楼板、外墙、楼梯、阳台是指</w:t>
      </w:r>
      <w:r>
        <w:rPr>
          <w:shd w:val="clear" w:color="auto" w:fill="FFFFFF"/>
        </w:rPr>
        <w:t>是</w:t>
      </w:r>
      <w:r>
        <w:rPr>
          <w:rFonts w:hint="eastAsia"/>
          <w:shd w:val="clear" w:color="auto" w:fill="FFFFFF"/>
        </w:rPr>
        <w:t>具有相同的名称（包括商品名）和相同的使用目的与功能，且整体尺寸（不含洞口，开槽）和钢筋配置一致的预制楼板、外墙、楼梯、阳台。</w:t>
      </w:r>
    </w:p>
    <w:p w:rsidR="00512332" w:rsidRDefault="00E80EF5">
      <w:pPr>
        <w:rPr>
          <w:shd w:val="clear" w:color="auto" w:fill="FFFFFF"/>
        </w:rPr>
      </w:pPr>
      <w:r>
        <w:rPr>
          <w:rFonts w:hint="eastAsia"/>
          <w:b/>
          <w:bCs/>
        </w:rPr>
        <w:t xml:space="preserve">4.2.4 </w:t>
      </w:r>
      <w:r>
        <w:rPr>
          <w:rFonts w:hint="eastAsia"/>
          <w:shd w:val="clear" w:color="auto" w:fill="FFFFFF"/>
        </w:rPr>
        <w:t>本条预制外墙包含不设内衬墙的幕墙、工厂预装配或工厂整体浇筑的各类轻质、特种混凝土预制墙板，预制外墙外表面积</w:t>
      </w:r>
      <w:r>
        <w:rPr>
          <w:rFonts w:hint="eastAsia"/>
        </w:rPr>
        <w:t>（</w:t>
      </w:r>
      <w:r w:rsidR="00512332" w:rsidRPr="00512332">
        <w:rPr>
          <w:position w:val="-10"/>
        </w:rPr>
        <w:object w:dxaOrig="218" w:dyaOrig="302">
          <v:shape id="_x0000_i1139" type="#_x0000_t75" style="width:10.5pt;height:15pt" o:ole="">
            <v:imagedata r:id="rId194" o:title=""/>
          </v:shape>
          <o:OLEObject Type="Embed" ProgID="Equation.AxMath" ShapeID="_x0000_i1139" DrawAspect="Content" ObjectID="_1606634934" r:id="rId229"/>
        </w:object>
      </w:r>
      <w:r>
        <w:rPr>
          <w:rFonts w:hint="eastAsia"/>
        </w:rPr>
        <w:t>）</w:t>
      </w:r>
      <w:r>
        <w:rPr>
          <w:rFonts w:hint="eastAsia"/>
          <w:shd w:val="clear" w:color="auto" w:fill="FFFFFF"/>
        </w:rPr>
        <w:t>应大于</w:t>
      </w:r>
      <w:r>
        <w:rPr>
          <w:shd w:val="clear" w:color="auto" w:fill="FFFFFF"/>
        </w:rPr>
        <w:t>外墙总体外表面积</w:t>
      </w:r>
      <w:r>
        <w:t>（</w:t>
      </w:r>
      <w:r w:rsidR="00512332" w:rsidRPr="00512332">
        <w:rPr>
          <w:position w:val="-10"/>
        </w:rPr>
        <w:object w:dxaOrig="347" w:dyaOrig="301">
          <v:shape id="_x0000_i1140" type="#_x0000_t75" style="width:18pt;height:15pt" o:ole="">
            <v:imagedata r:id="rId96" o:title=""/>
          </v:shape>
          <o:OLEObject Type="Embed" ProgID="Equation.AxMath" ShapeID="_x0000_i1140" DrawAspect="Content" ObjectID="_1606634935" r:id="rId230"/>
        </w:object>
      </w:r>
      <w:r>
        <w:t>）</w:t>
      </w:r>
      <w:r>
        <w:rPr>
          <w:rFonts w:hint="eastAsia"/>
          <w:shd w:val="clear" w:color="auto" w:fill="FFFFFF"/>
        </w:rPr>
        <w:t>50%</w:t>
      </w:r>
      <w:r>
        <w:rPr>
          <w:rFonts w:hint="eastAsia"/>
          <w:shd w:val="clear" w:color="auto" w:fill="FFFFFF"/>
        </w:rPr>
        <w:t>且预制外墙全部应用一体化技术。</w:t>
      </w:r>
    </w:p>
    <w:p w:rsidR="00512332" w:rsidRDefault="00E80EF5">
      <w:r>
        <w:rPr>
          <w:rFonts w:hint="eastAsia"/>
          <w:b/>
        </w:rPr>
        <w:t>4.2.5</w:t>
      </w:r>
      <w:r>
        <w:rPr>
          <w:rFonts w:hint="eastAsia"/>
        </w:rPr>
        <w:t>非挤土预制桩是指预制桩在沉桩过程中将与桩体积相同的土挖出，桩周土体基本不受扰动，但</w:t>
      </w:r>
      <w:r>
        <w:rPr>
          <w:rFonts w:hint="eastAsia"/>
        </w:rPr>
        <w:t>有应力松弛现象。主要包括各类井筒管桩、预钻孔埋桩、植入桩等，如随钻跟管桩《随钻跟管桩技术规程</w:t>
      </w:r>
      <w:r>
        <w:rPr>
          <w:rFonts w:hint="eastAsia"/>
        </w:rPr>
        <w:t>JGJT 344-2014</w:t>
      </w:r>
      <w:r>
        <w:rPr>
          <w:rFonts w:hint="eastAsia"/>
        </w:rPr>
        <w:t>》、劲性复合桩《劲性复合桩技术规程</w:t>
      </w:r>
      <w:r>
        <w:rPr>
          <w:rFonts w:hint="eastAsia"/>
        </w:rPr>
        <w:t>JGJ/T327-2014</w:t>
      </w:r>
      <w:r>
        <w:rPr>
          <w:rFonts w:hint="eastAsia"/>
        </w:rPr>
        <w:t>》、静钻根植桩《静钻根植桩技术规程</w:t>
      </w:r>
      <w:r>
        <w:rPr>
          <w:rFonts w:hint="eastAsia"/>
        </w:rPr>
        <w:t>DB 33/T 1134-2017</w:t>
      </w:r>
      <w:r>
        <w:rPr>
          <w:rFonts w:hint="eastAsia"/>
        </w:rPr>
        <w:t>》、中掘植桩法等。</w:t>
      </w:r>
      <w:r>
        <w:rPr>
          <w:rFonts w:hint="eastAsia"/>
        </w:rPr>
        <w:t xml:space="preserve"> </w:t>
      </w:r>
    </w:p>
    <w:p w:rsidR="00512332" w:rsidRDefault="00E80EF5">
      <w:r>
        <w:rPr>
          <w:rFonts w:hint="eastAsia"/>
          <w:b/>
        </w:rPr>
        <w:t>4.2.6</w:t>
      </w:r>
      <w:r>
        <w:rPr>
          <w:b/>
        </w:rPr>
        <w:t xml:space="preserve"> </w:t>
      </w:r>
      <w:r>
        <w:t>装配式建筑设计应建立</w:t>
      </w:r>
      <w:r>
        <w:t>BIM</w:t>
      </w:r>
      <w:r>
        <w:t>模型，</w:t>
      </w:r>
      <w:r>
        <w:rPr>
          <w:rFonts w:hint="eastAsia"/>
        </w:rPr>
        <w:t>采用</w:t>
      </w:r>
      <w:r>
        <w:t>整体模型搭建</w:t>
      </w:r>
      <w:r>
        <w:rPr>
          <w:rFonts w:hint="eastAsia"/>
        </w:rPr>
        <w:t>，应</w:t>
      </w:r>
      <w:r>
        <w:t>实现设计阶段与构件制作及施工阶段</w:t>
      </w:r>
      <w:r>
        <w:t>BIM</w:t>
      </w:r>
      <w:r>
        <w:t>模型的信息传递。在装配式建筑专项评审中应提交</w:t>
      </w:r>
      <w:r>
        <w:t>BIM</w:t>
      </w:r>
      <w:r>
        <w:t>技术应用模型、报告及</w:t>
      </w:r>
      <w:r>
        <w:rPr>
          <w:rFonts w:hint="eastAsia"/>
        </w:rPr>
        <w:t>技术</w:t>
      </w:r>
      <w:r>
        <w:t>典型应用点。装配式建筑设计阶段</w:t>
      </w:r>
      <w:r>
        <w:t>BIM</w:t>
      </w:r>
      <w:r>
        <w:t>技术典型应用点有：整体模型搭建、构件拆分、构件清单、预制率指标核算、</w:t>
      </w:r>
      <w:r>
        <w:t>BIM</w:t>
      </w:r>
      <w:r>
        <w:t>出图、节点设计、工程量统计、拼装检查、碰撞检测、三维漫游等。</w:t>
      </w:r>
    </w:p>
    <w:p w:rsidR="00512332" w:rsidRDefault="00E80EF5">
      <w:r>
        <w:rPr>
          <w:b/>
        </w:rPr>
        <w:t>4.2.</w:t>
      </w:r>
      <w:r>
        <w:rPr>
          <w:rFonts w:hint="eastAsia"/>
          <w:b/>
        </w:rPr>
        <w:t>7</w:t>
      </w:r>
      <w:r>
        <w:rPr>
          <w:rFonts w:hint="eastAsia"/>
        </w:rPr>
        <w:t>减隔震技术是较为成熟和常用的一类建筑减震控制技术，近年来在国内外有着广泛的应用。该技术通过附加的隔震或减震装置，使主体结构承受的地震作用显著减小，从而达到控制结构地震反应的目的，降低主体结构的损伤程度。能够较好地缓解装配式混凝土结构在关键节点上的受力，可明显减少构件及节点的配筋，便于施工，有利于控制装配式建筑造价。</w:t>
      </w:r>
    </w:p>
    <w:p w:rsidR="00512332" w:rsidRDefault="00E80EF5">
      <w:r>
        <w:rPr>
          <w:rFonts w:hint="eastAsia"/>
        </w:rPr>
        <w:t xml:space="preserve">    </w:t>
      </w:r>
      <w:r>
        <w:rPr>
          <w:rFonts w:hint="eastAsia"/>
        </w:rPr>
        <w:t>根据</w:t>
      </w:r>
      <w:r>
        <w:rPr>
          <w:rFonts w:hint="eastAsia"/>
        </w:rPr>
        <w:t>相关规范，当隔震结构底部剪力比不大于</w:t>
      </w:r>
      <w:r>
        <w:rPr>
          <w:rFonts w:hint="eastAsia"/>
        </w:rPr>
        <w:t>0.5</w:t>
      </w:r>
      <w:r>
        <w:rPr>
          <w:rFonts w:hint="eastAsia"/>
        </w:rPr>
        <w:t>时，隔震层以上结构可按本地区设防烈度降低一度采取抗震措施，此时能最有效的发挥隔震效果，简化抗震构造，有利于装配式建筑设计与施工。</w:t>
      </w:r>
    </w:p>
    <w:p w:rsidR="00512332" w:rsidRDefault="00E80EF5">
      <w:r>
        <w:rPr>
          <w:rFonts w:hint="eastAsia"/>
        </w:rPr>
        <w:t xml:space="preserve">    </w:t>
      </w:r>
      <w:r>
        <w:rPr>
          <w:rFonts w:hint="eastAsia"/>
        </w:rPr>
        <w:t>减震相关技术和产品相对较多，发挥减震效果的机制各不相同，但都应布置有足够的数量才能发挥较好的减震效果。其减震效果可以从附加阻尼比、基底剪力、层间位移、大震位移等不同指标进行评判，但最终都会反映在位移指标上。因此参考云南省相关规定，采用提高位移角限值要求并明确要求罕遇地震下与非减震结构的位移比值来衡量减震效果。其中作为对比的非减震结</w:t>
      </w:r>
      <w:r>
        <w:rPr>
          <w:rFonts w:hint="eastAsia"/>
        </w:rPr>
        <w:t>构是指按现行规程规范进行</w:t>
      </w:r>
      <w:r>
        <w:rPr>
          <w:rFonts w:hint="eastAsia"/>
        </w:rPr>
        <w:lastRenderedPageBreak/>
        <w:t>常规设计的同一结构，其构件断面、配筋及各项控制指标应符合相关规范要求，并在合理的范围内。</w:t>
      </w:r>
    </w:p>
    <w:p w:rsidR="00512332" w:rsidRDefault="00512332">
      <w:pPr>
        <w:rPr>
          <w:b/>
          <w:szCs w:val="30"/>
        </w:rPr>
      </w:pPr>
    </w:p>
    <w:p w:rsidR="00512332" w:rsidRDefault="00E80EF5">
      <w:pPr>
        <w:pStyle w:val="3"/>
        <w:spacing w:before="600" w:line="400" w:lineRule="exact"/>
        <w:ind w:firstLine="642"/>
        <w:jc w:val="center"/>
        <w:rPr>
          <w:szCs w:val="30"/>
        </w:rPr>
      </w:pPr>
      <w:bookmarkStart w:id="106" w:name="_Toc428866040"/>
      <w:bookmarkStart w:id="107" w:name="_Toc429938860"/>
      <w:bookmarkStart w:id="108" w:name="_Toc431905742"/>
      <w:bookmarkStart w:id="109" w:name="_Toc432494971"/>
      <w:bookmarkStart w:id="110" w:name="_Toc455312891"/>
      <w:bookmarkStart w:id="111" w:name="_Toc532848533"/>
      <w:bookmarkStart w:id="112" w:name="_Toc532848608"/>
      <w:r>
        <w:rPr>
          <w:szCs w:val="30"/>
        </w:rPr>
        <w:t>4.3</w:t>
      </w:r>
      <w:r>
        <w:rPr>
          <w:rFonts w:hint="eastAsia"/>
        </w:rPr>
        <w:t>计算规定</w:t>
      </w:r>
      <w:bookmarkEnd w:id="106"/>
      <w:bookmarkEnd w:id="107"/>
      <w:bookmarkEnd w:id="108"/>
      <w:bookmarkEnd w:id="109"/>
      <w:bookmarkEnd w:id="110"/>
      <w:bookmarkEnd w:id="111"/>
      <w:bookmarkEnd w:id="112"/>
    </w:p>
    <w:p w:rsidR="00512332" w:rsidRDefault="00E80EF5">
      <w:r>
        <w:rPr>
          <w:rFonts w:hint="eastAsia"/>
          <w:b/>
        </w:rPr>
        <w:t>4.3.4</w:t>
      </w:r>
      <w:r>
        <w:t>当构件采用劲性混凝土的梁、柱</w:t>
      </w:r>
      <w:r>
        <w:rPr>
          <w:rFonts w:hint="eastAsia"/>
        </w:rPr>
        <w:t>时，</w:t>
      </w:r>
      <w:r>
        <w:t>可全截面计入预制混凝土方量；局部采用全钢</w:t>
      </w:r>
      <w:r>
        <w:rPr>
          <w:rFonts w:hint="eastAsia"/>
        </w:rPr>
        <w:t>楼（</w:t>
      </w:r>
      <w:r>
        <w:t>屋</w:t>
      </w:r>
      <w:r>
        <w:rPr>
          <w:rFonts w:hint="eastAsia"/>
        </w:rPr>
        <w:t>）</w:t>
      </w:r>
      <w:r>
        <w:t>面</w:t>
      </w:r>
      <w:r>
        <w:rPr>
          <w:rFonts w:hint="eastAsia"/>
        </w:rPr>
        <w:t>或木楼（屋</w:t>
      </w:r>
      <w:r>
        <w:t>）</w:t>
      </w:r>
      <w:r>
        <w:rPr>
          <w:rFonts w:hint="eastAsia"/>
        </w:rPr>
        <w:t>盖</w:t>
      </w:r>
      <w:r>
        <w:t>时按</w:t>
      </w:r>
      <w:r>
        <w:rPr>
          <w:rFonts w:hint="eastAsia"/>
        </w:rPr>
        <w:t>水平投影</w:t>
      </w:r>
      <w:r>
        <w:t>面积</w:t>
      </w:r>
      <w:r>
        <w:rPr>
          <w:rFonts w:hint="eastAsia"/>
        </w:rPr>
        <w:t>以</w:t>
      </w:r>
      <w:r>
        <w:t>140mm</w:t>
      </w:r>
      <w:r>
        <w:rPr>
          <w:rFonts w:hint="eastAsia"/>
        </w:rPr>
        <w:t>截面高度</w:t>
      </w:r>
      <w:r>
        <w:t>计入预制混凝土方量。劲性混凝土的梁、柱</w:t>
      </w:r>
      <w:r>
        <w:rPr>
          <w:rFonts w:hint="eastAsia"/>
        </w:rPr>
        <w:t>的设计应满足《组合结构设计规范》（</w:t>
      </w:r>
      <w:r>
        <w:rPr>
          <w:rFonts w:hint="eastAsia"/>
          <w:bCs/>
        </w:rPr>
        <w:t>JGJ 138-2016</w:t>
      </w:r>
      <w:r>
        <w:rPr>
          <w:rFonts w:hint="eastAsia"/>
        </w:rPr>
        <w:t>）设计</w:t>
      </w:r>
      <w:r>
        <w:rPr>
          <w:rFonts w:hint="eastAsia"/>
          <w:bCs/>
        </w:rPr>
        <w:t>要求。</w:t>
      </w:r>
    </w:p>
    <w:p w:rsidR="00512332" w:rsidRDefault="00E80EF5">
      <w:pPr>
        <w:rPr>
          <w:color w:val="FF0000"/>
        </w:rPr>
      </w:pPr>
      <w:r>
        <w:rPr>
          <w:rFonts w:hint="eastAsia"/>
          <w:b/>
        </w:rPr>
        <w:t>4.3.5</w:t>
      </w:r>
      <w:r>
        <w:t>计</w:t>
      </w:r>
      <w:r>
        <w:rPr>
          <w:bCs/>
        </w:rPr>
        <w:t>算</w:t>
      </w:r>
      <w:r>
        <w:rPr>
          <w:rFonts w:hint="eastAsia"/>
          <w:bCs/>
        </w:rPr>
        <w:t>装配式楼（屋）面板水平投影面积</w:t>
      </w:r>
      <w:r>
        <w:rPr>
          <w:bCs/>
        </w:rPr>
        <w:t>时，</w:t>
      </w:r>
      <w:r>
        <w:rPr>
          <w:rFonts w:hint="eastAsia"/>
          <w:bCs/>
        </w:rPr>
        <w:t>楼承板、钢楼板可参照</w:t>
      </w:r>
      <w:r>
        <w:rPr>
          <w:bCs/>
        </w:rPr>
        <w:t>叠合板</w:t>
      </w:r>
      <w:r>
        <w:rPr>
          <w:rFonts w:hint="eastAsia"/>
          <w:bCs/>
        </w:rPr>
        <w:t>的计算方法。</w:t>
      </w:r>
    </w:p>
    <w:p w:rsidR="00512332" w:rsidRDefault="00512332">
      <w:pPr>
        <w:rPr>
          <w:szCs w:val="30"/>
        </w:rPr>
        <w:sectPr w:rsidR="00512332">
          <w:pgSz w:w="11906" w:h="16838"/>
          <w:pgMar w:top="1440" w:right="1474" w:bottom="1440" w:left="1474" w:header="851" w:footer="992" w:gutter="0"/>
          <w:cols w:space="425"/>
          <w:docGrid w:linePitch="312"/>
        </w:sectPr>
      </w:pPr>
    </w:p>
    <w:p w:rsidR="00512332" w:rsidRDefault="00E80EF5">
      <w:pPr>
        <w:pStyle w:val="2"/>
        <w:spacing w:after="600" w:line="400" w:lineRule="exact"/>
        <w:ind w:firstLine="643"/>
        <w:jc w:val="center"/>
        <w:rPr>
          <w:rFonts w:ascii="Times New Roman" w:eastAsia="宋体" w:hAnsi="Times New Roman"/>
        </w:rPr>
      </w:pPr>
      <w:bookmarkStart w:id="113" w:name="_Toc428025442"/>
      <w:bookmarkStart w:id="114" w:name="_Toc429938861"/>
      <w:bookmarkStart w:id="115" w:name="_Toc431905743"/>
      <w:bookmarkStart w:id="116" w:name="_Toc432494972"/>
      <w:bookmarkStart w:id="117" w:name="_Toc455312892"/>
      <w:bookmarkStart w:id="118" w:name="_Toc532848534"/>
      <w:bookmarkStart w:id="119" w:name="_Toc532848609"/>
      <w:bookmarkStart w:id="120" w:name="_Toc431905748"/>
      <w:bookmarkStart w:id="121" w:name="_Toc432494977"/>
      <w:bookmarkStart w:id="122" w:name="_Toc428866058"/>
      <w:bookmarkStart w:id="123" w:name="_Toc428025447"/>
      <w:bookmarkStart w:id="124" w:name="_Toc429938866"/>
      <w:bookmarkStart w:id="125" w:name="_Toc428866046"/>
      <w:bookmarkStart w:id="126" w:name="_Toc431905760"/>
      <w:bookmarkStart w:id="127" w:name="_Toc432494989"/>
      <w:bookmarkStart w:id="128" w:name="_Toc429938884"/>
      <w:bookmarkStart w:id="129" w:name="_Toc431905766"/>
      <w:bookmarkStart w:id="130" w:name="_Toc432494995"/>
      <w:bookmarkStart w:id="131" w:name="_Toc429938891"/>
      <w:bookmarkStart w:id="132" w:name="_Toc431905773"/>
      <w:bookmarkStart w:id="133" w:name="_Toc432495002"/>
      <w:bookmarkStart w:id="134" w:name="_Toc428866076"/>
      <w:r>
        <w:rPr>
          <w:rFonts w:ascii="Times New Roman" w:eastAsia="宋体" w:hAnsi="Times New Roman"/>
        </w:rPr>
        <w:lastRenderedPageBreak/>
        <w:t xml:space="preserve">5 </w:t>
      </w:r>
      <w:r>
        <w:rPr>
          <w:rFonts w:ascii="Times New Roman" w:eastAsia="宋体" w:hAnsi="Times New Roman"/>
        </w:rPr>
        <w:t xml:space="preserve"> </w:t>
      </w:r>
      <w:bookmarkEnd w:id="113"/>
      <w:bookmarkEnd w:id="114"/>
      <w:bookmarkEnd w:id="115"/>
      <w:bookmarkEnd w:id="116"/>
      <w:bookmarkEnd w:id="117"/>
      <w:r>
        <w:rPr>
          <w:rFonts w:ascii="Times New Roman" w:eastAsia="宋体" w:hAnsi="Times New Roman" w:hint="eastAsia"/>
        </w:rPr>
        <w:t>预制外墙外表面积比计算</w:t>
      </w:r>
      <w:bookmarkEnd w:id="118"/>
      <w:bookmarkEnd w:id="119"/>
    </w:p>
    <w:p w:rsidR="00512332" w:rsidRDefault="00E80EF5">
      <w:r>
        <w:rPr>
          <w:rFonts w:hint="eastAsia"/>
          <w:b/>
        </w:rPr>
        <w:t>5</w:t>
      </w:r>
      <w:r>
        <w:rPr>
          <w:b/>
        </w:rPr>
        <w:t>.</w:t>
      </w:r>
      <w:r>
        <w:rPr>
          <w:rFonts w:hint="eastAsia"/>
          <w:b/>
        </w:rPr>
        <w:t>0.2</w:t>
      </w:r>
      <w:r>
        <w:rPr>
          <w:rFonts w:hint="eastAsia"/>
        </w:rPr>
        <w:t>根据《宁波市人民政府办公厅印发关于推进新型建筑工业化项目建设的实施意见》（甬政办发</w:t>
      </w:r>
      <w:r>
        <w:rPr>
          <w:rFonts w:hint="eastAsia"/>
        </w:rPr>
        <w:t>2016</w:t>
      </w:r>
      <w:r>
        <w:rPr>
          <w:rFonts w:hint="eastAsia"/>
        </w:rPr>
        <w:t>〕</w:t>
      </w:r>
      <w:r>
        <w:rPr>
          <w:rFonts w:hint="eastAsia"/>
        </w:rPr>
        <w:t>7</w:t>
      </w:r>
      <w:r>
        <w:rPr>
          <w:rFonts w:hint="eastAsia"/>
        </w:rPr>
        <w:t>号）文件的要求，对房地产开发的住宅项目的预制外墙外表面积比做出了规定。</w:t>
      </w:r>
    </w:p>
    <w:p w:rsidR="00512332" w:rsidRDefault="00E80EF5">
      <w:r>
        <w:rPr>
          <w:rFonts w:hint="eastAsia"/>
          <w:b/>
        </w:rPr>
        <w:t>5.0.3</w:t>
      </w:r>
      <w:r>
        <w:t xml:space="preserve"> </w:t>
      </w:r>
      <w:r>
        <w:rPr>
          <w:rFonts w:hint="eastAsia"/>
        </w:rPr>
        <w:t>考虑到采光通风的需求，近年来设置连廊与内天井的住宅建筑逐年增多。考虑到这类建筑内天井内尺寸较为狭小，</w:t>
      </w:r>
      <w:r>
        <w:t>为</w:t>
      </w:r>
      <w:r>
        <w:rPr>
          <w:rFonts w:hint="eastAsia"/>
        </w:rPr>
        <w:t>预制外墙的设置带来了一定的困难，同时如计天井内侧部分的外墙也会导致总外墙外表面积的增加，增大满足外墙预制要求的困难，因此本条规定内</w:t>
      </w:r>
      <w:r>
        <w:t>天井</w:t>
      </w:r>
      <w:r>
        <w:rPr>
          <w:rFonts w:hint="eastAsia"/>
        </w:rPr>
        <w:t>内侧墙体可不计入外墙总体外表面积（</w:t>
      </w:r>
      <w:r w:rsidR="00512332" w:rsidRPr="00512332">
        <w:rPr>
          <w:position w:val="-12"/>
        </w:rPr>
        <w:object w:dxaOrig="416" w:dyaOrig="362">
          <v:shape id="_x0000_i1141" type="#_x0000_t75" style="width:21pt;height:18pt" o:ole="">
            <v:imagedata r:id="rId202" o:title=""/>
          </v:shape>
          <o:OLEObject Type="Embed" ProgID="Equation.AxMath" ShapeID="_x0000_i1141" DrawAspect="Content" ObjectID="_1606634936" r:id="rId231"/>
        </w:object>
      </w:r>
      <w:r>
        <w:rPr>
          <w:rFonts w:hint="eastAsia"/>
        </w:rPr>
        <w:t>）。但</w:t>
      </w:r>
      <w:r>
        <w:t>如果</w:t>
      </w:r>
      <w:r>
        <w:rPr>
          <w:rFonts w:hint="eastAsia"/>
        </w:rPr>
        <w:t>内</w:t>
      </w:r>
      <w:r>
        <w:t>天井</w:t>
      </w:r>
      <w:r>
        <w:rPr>
          <w:rFonts w:hint="eastAsia"/>
        </w:rPr>
        <w:t>内侧墙体具备</w:t>
      </w:r>
      <w:r>
        <w:t>做预制外墙的条件，</w:t>
      </w:r>
      <w:r>
        <w:rPr>
          <w:rFonts w:hint="eastAsia"/>
        </w:rPr>
        <w:t>也</w:t>
      </w:r>
      <w:r>
        <w:t>可根据设计需要将</w:t>
      </w:r>
      <w:r>
        <w:rPr>
          <w:rFonts w:hint="eastAsia"/>
        </w:rPr>
        <w:t>内</w:t>
      </w:r>
      <w:r>
        <w:t>天井</w:t>
      </w:r>
      <w:r>
        <w:rPr>
          <w:rFonts w:hint="eastAsia"/>
        </w:rPr>
        <w:t>内侧墙体计入外墙总体外表面积（</w:t>
      </w:r>
      <w:r w:rsidR="00512332" w:rsidRPr="00512332">
        <w:rPr>
          <w:position w:val="-12"/>
        </w:rPr>
        <w:object w:dxaOrig="416" w:dyaOrig="362">
          <v:shape id="_x0000_i1142" type="#_x0000_t75" style="width:21pt;height:18pt" o:ole="">
            <v:imagedata r:id="rId202" o:title=""/>
          </v:shape>
          <o:OLEObject Type="Embed" ProgID="Equation.AxMath" ShapeID="_x0000_i1142" DrawAspect="Content" ObjectID="_1606634937" r:id="rId232"/>
        </w:object>
      </w:r>
      <w:r>
        <w:rPr>
          <w:rFonts w:hint="eastAsia"/>
        </w:rPr>
        <w:t>）。</w:t>
      </w:r>
    </w:p>
    <w:p w:rsidR="00512332" w:rsidRDefault="00E80EF5">
      <w:r>
        <w:rPr>
          <w:b/>
        </w:rPr>
        <w:t>5.0.</w:t>
      </w:r>
      <w:r>
        <w:rPr>
          <w:rFonts w:hint="eastAsia"/>
          <w:b/>
        </w:rPr>
        <w:t>4</w:t>
      </w:r>
      <w:r>
        <w:t xml:space="preserve"> </w:t>
      </w:r>
    </w:p>
    <w:p w:rsidR="00512332" w:rsidRDefault="00E80EF5">
      <w:r>
        <w:rPr>
          <w:b/>
        </w:rPr>
        <w:t>1</w:t>
      </w:r>
      <w:r>
        <w:t>本条规定预制外墙外表面积（</w:t>
      </w:r>
      <w:r w:rsidR="00512332" w:rsidRPr="00512332">
        <w:rPr>
          <w:position w:val="-10"/>
        </w:rPr>
        <w:object w:dxaOrig="218" w:dyaOrig="302">
          <v:shape id="_x0000_i1143" type="#_x0000_t75" style="width:10.5pt;height:15pt" o:ole="">
            <v:imagedata r:id="rId194" o:title=""/>
          </v:shape>
          <o:OLEObject Type="Embed" ProgID="Equation.AxMath" ShapeID="_x0000_i1143" DrawAspect="Content" ObjectID="_1606634938" r:id="rId233"/>
        </w:object>
      </w:r>
      <w:r>
        <w:t>）的计算范围不应超出外墙总体外表面积（</w:t>
      </w:r>
      <w:r w:rsidR="00512332" w:rsidRPr="00512332">
        <w:rPr>
          <w:position w:val="-12"/>
        </w:rPr>
        <w:object w:dxaOrig="416" w:dyaOrig="362">
          <v:shape id="_x0000_i1144" type="#_x0000_t75" style="width:21pt;height:18pt" o:ole="">
            <v:imagedata r:id="rId202" o:title=""/>
          </v:shape>
          <o:OLEObject Type="Embed" ProgID="Equation.AxMath" ShapeID="_x0000_i1144" DrawAspect="Content" ObjectID="_1606634939" r:id="rId234"/>
        </w:object>
      </w:r>
      <w:r>
        <w:t>）的计算范围。如设置内天井的住宅，天井内侧墙体若未计入外墙总体外表面积（</w:t>
      </w:r>
      <w:r w:rsidR="00512332" w:rsidRPr="00512332">
        <w:rPr>
          <w:position w:val="-12"/>
        </w:rPr>
        <w:object w:dxaOrig="416" w:dyaOrig="362">
          <v:shape id="_x0000_i1145" type="#_x0000_t75" style="width:21pt;height:18pt" o:ole="">
            <v:imagedata r:id="rId202" o:title=""/>
          </v:shape>
          <o:OLEObject Type="Embed" ProgID="Equation.AxMath" ShapeID="_x0000_i1145" DrawAspect="Content" ObjectID="_1606634940" r:id="rId235"/>
        </w:object>
      </w:r>
      <w:r>
        <w:t>），则天井内侧墙体也不应计入预制外墙外表面积（</w:t>
      </w:r>
      <w:r w:rsidR="00512332" w:rsidRPr="00512332">
        <w:rPr>
          <w:position w:val="-10"/>
        </w:rPr>
        <w:object w:dxaOrig="218" w:dyaOrig="302">
          <v:shape id="_x0000_i1146" type="#_x0000_t75" style="width:10.5pt;height:15pt" o:ole="">
            <v:imagedata r:id="rId194" o:title=""/>
          </v:shape>
          <o:OLEObject Type="Embed" ProgID="Equation.AxMath" ShapeID="_x0000_i1146" DrawAspect="Content" ObjectID="_1606634941" r:id="rId236"/>
        </w:object>
      </w:r>
      <w:r>
        <w:t>）。</w:t>
      </w:r>
    </w:p>
    <w:p w:rsidR="00512332" w:rsidRDefault="00E80EF5">
      <w:pPr>
        <w:rPr>
          <w:b/>
        </w:rPr>
      </w:pPr>
      <w:r>
        <w:rPr>
          <w:b/>
        </w:rPr>
        <w:t>2</w:t>
      </w:r>
      <w:r>
        <w:t>位于单片预制外墙构件内四面（或三面）围合门、窗洞口，有条件做到窗框预埋，为鼓励门窗一体化构件，本条作此规定。</w:t>
      </w:r>
    </w:p>
    <w:p w:rsidR="00512332" w:rsidRDefault="00E80EF5">
      <w:r>
        <w:rPr>
          <w:b/>
        </w:rPr>
        <w:t>3</w:t>
      </w:r>
      <w:r>
        <w:t>内嵌式预制外墙分为包含结构梁外墙板与不包含结构梁外墙板，当包含结构梁外墙板梁墙一起预制时，其结构梁采用叠合梁形式，其叠合层高度可计入预制外墙高度。</w:t>
      </w:r>
    </w:p>
    <w:p w:rsidR="00512332" w:rsidRDefault="00E80EF5">
      <w:r>
        <w:rPr>
          <w:b/>
        </w:rPr>
        <w:t>5</w:t>
      </w:r>
      <w:r>
        <w:t>为鼓励预制阳台一体化设计，使现场装配施工方便快捷，本条规定采用一体化设计的阳台、设备平台等部位可计入预制外墙外表面积（</w:t>
      </w:r>
      <w:r w:rsidR="00512332" w:rsidRPr="00512332">
        <w:rPr>
          <w:position w:val="-10"/>
        </w:rPr>
        <w:object w:dxaOrig="218" w:dyaOrig="302">
          <v:shape id="_x0000_i1147" type="#_x0000_t75" style="width:10.5pt;height:15pt" o:ole="">
            <v:imagedata r:id="rId194" o:title=""/>
          </v:shape>
          <o:OLEObject Type="Embed" ProgID="Equation.AxMath" ShapeID="_x0000_i1147" DrawAspect="Content" ObjectID="_1606634942" r:id="rId237"/>
        </w:object>
      </w:r>
      <w:r>
        <w:t>）。由于结构形式的限制，阳台（设备平台）不适宜采用预制（叠合）阳台（设备平台）时，阳台（设备平台）也可采用叠合板的布置形式。</w:t>
      </w:r>
    </w:p>
    <w:p w:rsidR="00512332" w:rsidRDefault="00E80EF5">
      <w:pPr>
        <w:rPr>
          <w:b/>
        </w:rPr>
      </w:pPr>
      <w:r>
        <w:rPr>
          <w:b/>
        </w:rPr>
        <w:t>6</w:t>
      </w:r>
      <w:r>
        <w:t>装配式建筑的拆分设计在保证预制构件受力合理性的前提下，鼓励预制构件的一体化设计，拆分设计中尽量避免预制梁、预制装饰构件等局部预制构件的产生。</w:t>
      </w:r>
    </w:p>
    <w:p w:rsidR="00512332" w:rsidRDefault="00E80EF5">
      <w:r>
        <w:rPr>
          <w:b/>
        </w:rPr>
        <w:t>10</w:t>
      </w:r>
      <w:r>
        <w:t>非承重混凝土墙板尺寸过大或重量过重超出吊装能力时，可将该墙板拆分，并在墙板之间设置构造柱，该构造柱作为拆分构件的连接构件，表面积可计入预制外墙外表面积（</w:t>
      </w:r>
      <w:r w:rsidR="00512332" w:rsidRPr="00512332">
        <w:rPr>
          <w:position w:val="-10"/>
        </w:rPr>
        <w:object w:dxaOrig="218" w:dyaOrig="302">
          <v:shape id="_x0000_i1148" type="#_x0000_t75" style="width:10.5pt;height:15pt" o:ole="">
            <v:imagedata r:id="rId194" o:title=""/>
          </v:shape>
          <o:OLEObject Type="Embed" ProgID="Equation.AxMath" ShapeID="_x0000_i1148" DrawAspect="Content" ObjectID="_1606634943" r:id="rId238"/>
        </w:object>
      </w:r>
      <w:r>
        <w:t>）。</w:t>
      </w:r>
    </w:p>
    <w:p w:rsidR="00512332" w:rsidRDefault="00512332">
      <w:pPr>
        <w:ind w:firstLine="602"/>
        <w:rPr>
          <w:b/>
          <w:szCs w:val="30"/>
        </w:rPr>
      </w:pPr>
    </w:p>
    <w:p w:rsidR="00512332" w:rsidRDefault="00E80EF5">
      <w:pPr>
        <w:pStyle w:val="2"/>
        <w:spacing w:after="600" w:line="400" w:lineRule="exact"/>
        <w:ind w:firstLine="643"/>
        <w:jc w:val="center"/>
        <w:rPr>
          <w:rFonts w:ascii="Times New Roman" w:eastAsia="宋体" w:hAnsi="Times New Roman"/>
        </w:rPr>
      </w:pPr>
      <w:bookmarkStart w:id="135" w:name="_Toc455312897"/>
      <w:bookmarkStart w:id="136" w:name="_Toc532848535"/>
      <w:bookmarkStart w:id="137" w:name="_Toc532848610"/>
      <w:bookmarkEnd w:id="120"/>
      <w:bookmarkEnd w:id="121"/>
      <w:bookmarkEnd w:id="122"/>
      <w:bookmarkEnd w:id="123"/>
      <w:bookmarkEnd w:id="124"/>
      <w:bookmarkEnd w:id="125"/>
      <w:r>
        <w:rPr>
          <w:rFonts w:ascii="Times New Roman" w:eastAsia="宋体" w:hAnsi="Times New Roman"/>
        </w:rPr>
        <w:t xml:space="preserve">6  </w:t>
      </w:r>
      <w:bookmarkEnd w:id="135"/>
      <w:r>
        <w:rPr>
          <w:rFonts w:ascii="Times New Roman" w:eastAsia="宋体" w:hAnsi="Times New Roman" w:hint="eastAsia"/>
        </w:rPr>
        <w:t>预制外墙建筑面积计算</w:t>
      </w:r>
      <w:bookmarkEnd w:id="136"/>
      <w:bookmarkEnd w:id="137"/>
    </w:p>
    <w:p w:rsidR="00512332" w:rsidRDefault="00E80EF5">
      <w:r>
        <w:rPr>
          <w:rFonts w:hint="eastAsia"/>
          <w:b/>
        </w:rPr>
        <w:t>6.0</w:t>
      </w:r>
      <w:r>
        <w:rPr>
          <w:b/>
        </w:rPr>
        <w:t>.1</w:t>
      </w:r>
      <w:r>
        <w:rPr>
          <w:rFonts w:hint="eastAsia"/>
        </w:rPr>
        <w:t>为推动宁波市建筑工业化的发展，鼓励装配式建筑的建造，根据《宁波市人民政府办公厅印发关于加快推进新型建筑工业化若干意见的通知》（甬政办发〔</w:t>
      </w:r>
      <w:r>
        <w:rPr>
          <w:rFonts w:hint="eastAsia"/>
        </w:rPr>
        <w:t>2015</w:t>
      </w:r>
      <w:r>
        <w:rPr>
          <w:rFonts w:hint="eastAsia"/>
        </w:rPr>
        <w:t>〕</w:t>
      </w:r>
      <w:r>
        <w:rPr>
          <w:rFonts w:hint="eastAsia"/>
        </w:rPr>
        <w:t>99</w:t>
      </w:r>
      <w:r>
        <w:rPr>
          <w:rFonts w:hint="eastAsia"/>
        </w:rPr>
        <w:t>号）文件的要求，规定预制外墙建筑面积不计入容积率（超过</w:t>
      </w:r>
      <w:r>
        <w:rPr>
          <w:rFonts w:hint="eastAsia"/>
        </w:rPr>
        <w:t>3%</w:t>
      </w:r>
      <w:r>
        <w:rPr>
          <w:rFonts w:hint="eastAsia"/>
        </w:rPr>
        <w:t>的部分计入容积率）。</w:t>
      </w:r>
    </w:p>
    <w:p w:rsidR="00512332" w:rsidRDefault="00E80EF5">
      <w:r>
        <w:rPr>
          <w:rFonts w:hint="eastAsia"/>
          <w:b/>
        </w:rPr>
        <w:t>6.0</w:t>
      </w:r>
      <w:r>
        <w:rPr>
          <w:b/>
        </w:rPr>
        <w:t>.2</w:t>
      </w:r>
      <w:r>
        <w:rPr>
          <w:rFonts w:hint="eastAsia"/>
        </w:rPr>
        <w:t>采用预制外墙的装配式混凝土建筑项目，其预制外墙建筑面积指标需在本市建筑工业化专项评审中予以认定。规划部门在审批项目规划方案、核定建筑面积时，应以建筑</w:t>
      </w:r>
      <w:r>
        <w:t>工业化</w:t>
      </w:r>
      <w:r>
        <w:rPr>
          <w:rFonts w:hint="eastAsia"/>
        </w:rPr>
        <w:t>专项</w:t>
      </w:r>
      <w:r>
        <w:t>评审</w:t>
      </w:r>
      <w:r>
        <w:rPr>
          <w:rFonts w:hint="eastAsia"/>
        </w:rPr>
        <w:t>认定文本为依据核定该项目总计容面积指标。</w:t>
      </w:r>
    </w:p>
    <w:p w:rsidR="00512332" w:rsidRDefault="00E80EF5">
      <w:r>
        <w:rPr>
          <w:rFonts w:hint="eastAsia"/>
          <w:b/>
        </w:rPr>
        <w:t>6.0.6</w:t>
      </w:r>
      <w:r>
        <w:rPr>
          <w:rFonts w:hint="eastAsia"/>
        </w:rPr>
        <w:t>位于单片</w:t>
      </w:r>
      <w:r>
        <w:t>预制</w:t>
      </w:r>
      <w:r>
        <w:rPr>
          <w:rFonts w:hint="eastAsia"/>
        </w:rPr>
        <w:t>外墙构件内四面（或三面</w:t>
      </w:r>
      <w:r>
        <w:t>）</w:t>
      </w:r>
      <w:r>
        <w:rPr>
          <w:rFonts w:hint="eastAsia"/>
        </w:rPr>
        <w:t>围合门、</w:t>
      </w:r>
      <w:r>
        <w:t>窗</w:t>
      </w:r>
      <w:r>
        <w:rPr>
          <w:rFonts w:hint="eastAsia"/>
        </w:rPr>
        <w:t>洞口，有条件做到窗框预埋，为鼓励门窗一体化构件，本条作此规定。</w:t>
      </w:r>
    </w:p>
    <w:p w:rsidR="00512332" w:rsidRDefault="00E80EF5">
      <w:r>
        <w:rPr>
          <w:rFonts w:hint="eastAsia"/>
          <w:b/>
        </w:rPr>
        <w:t>6.0.8</w:t>
      </w:r>
      <w:r>
        <w:rPr>
          <w:rFonts w:hint="eastAsia"/>
        </w:rPr>
        <w:t>非承重混凝土墙板尺寸过大或重量过重超出吊装能力时，可将该墙板拆分，并在墙板之间设置构造柱，该构造柱作为拆分构件的连接构件，可计入预制外墙建筑面积。</w:t>
      </w:r>
    </w:p>
    <w:p w:rsidR="00512332" w:rsidRDefault="00E80EF5">
      <w:r>
        <w:rPr>
          <w:b/>
        </w:rPr>
        <w:t>6.</w:t>
      </w:r>
      <w:r>
        <w:rPr>
          <w:rFonts w:hint="eastAsia"/>
          <w:b/>
        </w:rPr>
        <w:t>0</w:t>
      </w:r>
      <w:r>
        <w:rPr>
          <w:b/>
        </w:rPr>
        <w:t>.</w:t>
      </w:r>
      <w:r>
        <w:rPr>
          <w:rFonts w:hint="eastAsia"/>
          <w:b/>
        </w:rPr>
        <w:t>10</w:t>
      </w:r>
      <w:r>
        <w:t>为鼓励预制阳台一体化设计，使现场装配施工方便快捷，本条规定采用一体化设计的阳台其对应主体结构墙体可计入预制外墙建筑面积。由于结构形式的限制，阳台不适宜采用预制（叠合）阳台时，阳台也可采用叠合板的布置形式。</w:t>
      </w:r>
    </w:p>
    <w:p w:rsidR="00512332" w:rsidRDefault="00E80EF5">
      <w:pPr>
        <w:rPr>
          <w:b/>
        </w:rPr>
      </w:pPr>
      <w:r>
        <w:rPr>
          <w:b/>
        </w:rPr>
        <w:t>6.</w:t>
      </w:r>
      <w:r>
        <w:rPr>
          <w:rFonts w:hint="eastAsia"/>
          <w:b/>
        </w:rPr>
        <w:t>0.11</w:t>
      </w:r>
      <w:r>
        <w:t>装配式建筑的拆</w:t>
      </w:r>
      <w:r>
        <w:t>分设计在保证预制构件受力合理性的前提下，鼓励预制构件的一体化设计，拆分设计中尽量避免预制梁、预制装饰构件等局部预制构件的产生。</w:t>
      </w:r>
    </w:p>
    <w:p w:rsidR="00512332" w:rsidRDefault="00E80EF5">
      <w:pPr>
        <w:rPr>
          <w:b/>
        </w:rPr>
      </w:pPr>
      <w:r>
        <w:rPr>
          <w:b/>
        </w:rPr>
        <w:t>6.</w:t>
      </w:r>
      <w:r>
        <w:rPr>
          <w:rFonts w:hint="eastAsia"/>
          <w:b/>
        </w:rPr>
        <w:t>0</w:t>
      </w:r>
      <w:r>
        <w:rPr>
          <w:b/>
        </w:rPr>
        <w:t>.1</w:t>
      </w:r>
      <w:r>
        <w:rPr>
          <w:rFonts w:hint="eastAsia"/>
          <w:b/>
        </w:rPr>
        <w:t>2</w:t>
      </w:r>
      <w:r>
        <w:t>内天井内侧墙体采用预制外墙时，无论内天井内侧墙体是否计入外墙总体外表面积，内天井内的预制外墙均可计入预制外墙建筑面积。</w:t>
      </w:r>
    </w:p>
    <w:bookmarkEnd w:id="126"/>
    <w:bookmarkEnd w:id="127"/>
    <w:bookmarkEnd w:id="128"/>
    <w:bookmarkEnd w:id="129"/>
    <w:bookmarkEnd w:id="130"/>
    <w:bookmarkEnd w:id="131"/>
    <w:bookmarkEnd w:id="132"/>
    <w:bookmarkEnd w:id="133"/>
    <w:bookmarkEnd w:id="134"/>
    <w:p w:rsidR="00512332" w:rsidRDefault="00512332"/>
    <w:sectPr w:rsidR="00512332" w:rsidSect="00512332">
      <w:pgSz w:w="11906" w:h="16838"/>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F5" w:rsidRDefault="00E80EF5" w:rsidP="00512332">
      <w:pPr>
        <w:spacing w:line="240" w:lineRule="auto"/>
      </w:pPr>
      <w:r>
        <w:separator/>
      </w:r>
    </w:p>
  </w:endnote>
  <w:endnote w:type="continuationSeparator" w:id="1">
    <w:p w:rsidR="00E80EF5" w:rsidRDefault="00E80EF5" w:rsidP="005123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ZHei-B01S">
    <w:altName w:val="宋体"/>
    <w:charset w:val="86"/>
    <w:family w:val="script"/>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charset w:val="00"/>
    <w:family w:val="swiss"/>
    <w:pitch w:val="default"/>
    <w:sig w:usb0="A00002EF" w:usb1="4000207B"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
      <w:ind w:firstLine="420"/>
      <w:jc w:val="center"/>
      <w:rPr>
        <w:rFonts w:ascii="Times New Roman" w:hAnsi="Times New Roman"/>
        <w:sz w:val="21"/>
        <w:szCs w:val="21"/>
      </w:rPr>
    </w:pPr>
    <w:r w:rsidRPr="00512332">
      <w:rPr>
        <w:rFonts w:ascii="Times New Roman" w:hAnsi="Times New Roman"/>
        <w:sz w:val="21"/>
        <w:szCs w:val="21"/>
      </w:rPr>
      <w:fldChar w:fldCharType="begin"/>
    </w:r>
    <w:r w:rsidR="00E80EF5">
      <w:rPr>
        <w:rFonts w:ascii="Times New Roman" w:hAnsi="Times New Roman"/>
        <w:sz w:val="21"/>
        <w:szCs w:val="21"/>
      </w:rPr>
      <w:instrText xml:space="preserve"> PAGE   \* MERGEFORMAT </w:instrText>
    </w:r>
    <w:r w:rsidRPr="00512332">
      <w:rPr>
        <w:rFonts w:ascii="Times New Roman" w:hAnsi="Times New Roman"/>
        <w:sz w:val="21"/>
        <w:szCs w:val="21"/>
      </w:rPr>
      <w:fldChar w:fldCharType="separate"/>
    </w:r>
    <w:r w:rsidR="00E80EF5">
      <w:rPr>
        <w:rFonts w:ascii="Times New Roman" w:hAnsi="Times New Roman"/>
        <w:sz w:val="21"/>
        <w:szCs w:val="21"/>
        <w:lang w:val="zh-CN"/>
      </w:rPr>
      <w:t>96</w:t>
    </w:r>
    <w:r>
      <w:rPr>
        <w:rFonts w:ascii="Times New Roman" w:hAnsi="Times New Roman"/>
        <w:sz w:val="21"/>
        <w:szCs w:val="21"/>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
      <w:ind w:firstLine="480"/>
      <w:jc w:val="center"/>
      <w:rPr>
        <w:rFonts w:ascii="Times New Roman" w:hAnsi="Times New Roman"/>
        <w:sz w:val="24"/>
        <w:szCs w:val="24"/>
      </w:rPr>
    </w:pPr>
    <w:r w:rsidRPr="00512332">
      <w:rPr>
        <w:rFonts w:ascii="Times New Roman" w:hAnsi="Times New Roman"/>
        <w:sz w:val="24"/>
        <w:szCs w:val="24"/>
      </w:rPr>
      <w:fldChar w:fldCharType="begin"/>
    </w:r>
    <w:r w:rsidR="00E80EF5">
      <w:rPr>
        <w:rFonts w:ascii="Times New Roman" w:hAnsi="Times New Roman"/>
        <w:sz w:val="24"/>
        <w:szCs w:val="24"/>
      </w:rPr>
      <w:instrText xml:space="preserve"> PAGE   \* MERGEFORMAT </w:instrText>
    </w:r>
    <w:r w:rsidRPr="00512332">
      <w:rPr>
        <w:rFonts w:ascii="Times New Roman" w:hAnsi="Times New Roman"/>
        <w:sz w:val="24"/>
        <w:szCs w:val="24"/>
      </w:rPr>
      <w:fldChar w:fldCharType="separate"/>
    </w:r>
    <w:r w:rsidR="009D0024" w:rsidRPr="009D0024">
      <w:rPr>
        <w:rFonts w:ascii="Times New Roman" w:hAnsi="Times New Roman"/>
        <w:noProof/>
        <w:sz w:val="24"/>
        <w:szCs w:val="24"/>
        <w:lang w:val="zh-CN"/>
      </w:rPr>
      <w:t>19</w:t>
    </w:r>
    <w:r>
      <w:rPr>
        <w:rFonts w:ascii="Times New Roman" w:hAnsi="Times New Roman"/>
        <w:sz w:val="24"/>
        <w:szCs w:val="24"/>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
      <w:ind w:firstLine="480"/>
      <w:jc w:val="center"/>
      <w:rPr>
        <w:sz w:val="24"/>
        <w:szCs w:val="24"/>
      </w:rPr>
    </w:pPr>
    <w:r>
      <w:rPr>
        <w:sz w:val="24"/>
        <w:szCs w:val="24"/>
      </w:rPr>
      <w:fldChar w:fldCharType="begin"/>
    </w:r>
    <w:r w:rsidR="00E80EF5">
      <w:rPr>
        <w:sz w:val="24"/>
        <w:szCs w:val="24"/>
      </w:rPr>
      <w:instrText xml:space="preserve"> PAGE   \* MERGEFORMAT </w:instrText>
    </w:r>
    <w:r>
      <w:rPr>
        <w:sz w:val="24"/>
        <w:szCs w:val="24"/>
      </w:rPr>
      <w:fldChar w:fldCharType="separate"/>
    </w:r>
    <w:r w:rsidR="009D0024" w:rsidRPr="009D0024">
      <w:rPr>
        <w:noProof/>
        <w:sz w:val="24"/>
        <w:szCs w:val="24"/>
        <w:lang w:val="zh-CN"/>
      </w:rPr>
      <w:t>22</w:t>
    </w:r>
    <w:r>
      <w:rP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
      <w:ind w:firstLine="480"/>
      <w:jc w:val="center"/>
    </w:pPr>
    <w:r w:rsidRPr="00512332">
      <w:rPr>
        <w:rFonts w:ascii="Times New Roman" w:hAnsi="Times New Roman"/>
        <w:sz w:val="24"/>
        <w:szCs w:val="24"/>
      </w:rPr>
      <w:fldChar w:fldCharType="begin"/>
    </w:r>
    <w:r w:rsidR="00E80EF5">
      <w:rPr>
        <w:rFonts w:ascii="Times New Roman" w:hAnsi="Times New Roman"/>
        <w:sz w:val="24"/>
        <w:szCs w:val="24"/>
      </w:rPr>
      <w:instrText xml:space="preserve"> PAGE   \* MERGEFORMAT </w:instrText>
    </w:r>
    <w:r w:rsidRPr="00512332">
      <w:rPr>
        <w:rFonts w:ascii="Times New Roman" w:hAnsi="Times New Roman"/>
        <w:sz w:val="24"/>
        <w:szCs w:val="24"/>
      </w:rPr>
      <w:fldChar w:fldCharType="separate"/>
    </w:r>
    <w:r w:rsidR="009D0024" w:rsidRPr="009D0024">
      <w:rPr>
        <w:rFonts w:ascii="Times New Roman" w:hAnsi="Times New Roman"/>
        <w:noProof/>
        <w:sz w:val="24"/>
        <w:szCs w:val="24"/>
        <w:lang w:val="zh-CN"/>
      </w:rPr>
      <w:t>31</w:t>
    </w:r>
    <w:r>
      <w:rPr>
        <w:rFonts w:ascii="Times New Roman" w:hAnsi="Times New Roman"/>
        <w:sz w:val="24"/>
        <w:szCs w:val="24"/>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F5" w:rsidRDefault="00E80EF5" w:rsidP="00512332">
      <w:pPr>
        <w:spacing w:line="240" w:lineRule="auto"/>
      </w:pPr>
      <w:r>
        <w:separator/>
      </w:r>
    </w:p>
  </w:footnote>
  <w:footnote w:type="continuationSeparator" w:id="1">
    <w:p w:rsidR="00E80EF5" w:rsidRDefault="00E80EF5" w:rsidP="005123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0"/>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0"/>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0"/>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af0"/>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7069D"/>
    <w:multiLevelType w:val="multilevel"/>
    <w:tmpl w:val="5927069D"/>
    <w:lvl w:ilvl="0">
      <w:start w:val="1"/>
      <w:numFmt w:val="decimal"/>
      <w:pStyle w:val="15"/>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ttachedTemplate r:id="rId1"/>
  <w:defaultTabStop w:val="420"/>
  <w:drawingGridHorizontalSpacing w:val="150"/>
  <w:drawingGridVerticalSpacing w:val="204"/>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0EC"/>
    <w:rsid w:val="00000065"/>
    <w:rsid w:val="0000034A"/>
    <w:rsid w:val="00000ABA"/>
    <w:rsid w:val="00000C18"/>
    <w:rsid w:val="00000ED9"/>
    <w:rsid w:val="00000F1E"/>
    <w:rsid w:val="0000164D"/>
    <w:rsid w:val="000018B9"/>
    <w:rsid w:val="00001B54"/>
    <w:rsid w:val="00002005"/>
    <w:rsid w:val="0000248F"/>
    <w:rsid w:val="00002FCE"/>
    <w:rsid w:val="00003164"/>
    <w:rsid w:val="00003974"/>
    <w:rsid w:val="000039D1"/>
    <w:rsid w:val="00004390"/>
    <w:rsid w:val="0000445D"/>
    <w:rsid w:val="00004485"/>
    <w:rsid w:val="00004815"/>
    <w:rsid w:val="00005110"/>
    <w:rsid w:val="0000512D"/>
    <w:rsid w:val="00005768"/>
    <w:rsid w:val="00005C6A"/>
    <w:rsid w:val="00005DB9"/>
    <w:rsid w:val="000062CE"/>
    <w:rsid w:val="0000709F"/>
    <w:rsid w:val="00007BC0"/>
    <w:rsid w:val="00007CB1"/>
    <w:rsid w:val="000106AE"/>
    <w:rsid w:val="00010937"/>
    <w:rsid w:val="0001140D"/>
    <w:rsid w:val="00012230"/>
    <w:rsid w:val="0001239A"/>
    <w:rsid w:val="000125F5"/>
    <w:rsid w:val="00012BAB"/>
    <w:rsid w:val="00012D7F"/>
    <w:rsid w:val="00012E65"/>
    <w:rsid w:val="0001357D"/>
    <w:rsid w:val="00013901"/>
    <w:rsid w:val="0001432C"/>
    <w:rsid w:val="00014504"/>
    <w:rsid w:val="00014539"/>
    <w:rsid w:val="00014D96"/>
    <w:rsid w:val="0001576B"/>
    <w:rsid w:val="000157BE"/>
    <w:rsid w:val="00016594"/>
    <w:rsid w:val="00016598"/>
    <w:rsid w:val="000171D7"/>
    <w:rsid w:val="00021184"/>
    <w:rsid w:val="000211AE"/>
    <w:rsid w:val="00021F3E"/>
    <w:rsid w:val="00022414"/>
    <w:rsid w:val="00022721"/>
    <w:rsid w:val="000230F3"/>
    <w:rsid w:val="0002473F"/>
    <w:rsid w:val="000249CC"/>
    <w:rsid w:val="00025C45"/>
    <w:rsid w:val="00026952"/>
    <w:rsid w:val="00026A92"/>
    <w:rsid w:val="00026F7F"/>
    <w:rsid w:val="0002710F"/>
    <w:rsid w:val="00027866"/>
    <w:rsid w:val="00030D68"/>
    <w:rsid w:val="0003196B"/>
    <w:rsid w:val="00031B32"/>
    <w:rsid w:val="00031CDD"/>
    <w:rsid w:val="00031D29"/>
    <w:rsid w:val="000320AF"/>
    <w:rsid w:val="00032608"/>
    <w:rsid w:val="00032949"/>
    <w:rsid w:val="00033113"/>
    <w:rsid w:val="00033A0E"/>
    <w:rsid w:val="00033A49"/>
    <w:rsid w:val="00034CC2"/>
    <w:rsid w:val="00034CE9"/>
    <w:rsid w:val="00034D7A"/>
    <w:rsid w:val="00035B4D"/>
    <w:rsid w:val="00035D26"/>
    <w:rsid w:val="000363AD"/>
    <w:rsid w:val="0003649E"/>
    <w:rsid w:val="000368AF"/>
    <w:rsid w:val="00037102"/>
    <w:rsid w:val="000373CC"/>
    <w:rsid w:val="00037F0A"/>
    <w:rsid w:val="000428D8"/>
    <w:rsid w:val="00042D84"/>
    <w:rsid w:val="00043A38"/>
    <w:rsid w:val="00043F57"/>
    <w:rsid w:val="00044007"/>
    <w:rsid w:val="000440D5"/>
    <w:rsid w:val="00044AE7"/>
    <w:rsid w:val="00044BA4"/>
    <w:rsid w:val="00044DC9"/>
    <w:rsid w:val="00045763"/>
    <w:rsid w:val="000460E1"/>
    <w:rsid w:val="00046A48"/>
    <w:rsid w:val="00046CF0"/>
    <w:rsid w:val="000473DA"/>
    <w:rsid w:val="00047A52"/>
    <w:rsid w:val="000509A1"/>
    <w:rsid w:val="00051978"/>
    <w:rsid w:val="00051FBB"/>
    <w:rsid w:val="000520A6"/>
    <w:rsid w:val="000520C0"/>
    <w:rsid w:val="00052A6C"/>
    <w:rsid w:val="00052B25"/>
    <w:rsid w:val="00052E83"/>
    <w:rsid w:val="000533D0"/>
    <w:rsid w:val="00053CD8"/>
    <w:rsid w:val="00054513"/>
    <w:rsid w:val="0005455A"/>
    <w:rsid w:val="0005484B"/>
    <w:rsid w:val="00055036"/>
    <w:rsid w:val="00055662"/>
    <w:rsid w:val="00055D14"/>
    <w:rsid w:val="00056472"/>
    <w:rsid w:val="00056C99"/>
    <w:rsid w:val="0005708A"/>
    <w:rsid w:val="000570B6"/>
    <w:rsid w:val="00057E05"/>
    <w:rsid w:val="00060E21"/>
    <w:rsid w:val="0006136C"/>
    <w:rsid w:val="0006170F"/>
    <w:rsid w:val="000618AB"/>
    <w:rsid w:val="00061DA1"/>
    <w:rsid w:val="0006219C"/>
    <w:rsid w:val="000625FE"/>
    <w:rsid w:val="00062C3B"/>
    <w:rsid w:val="00063733"/>
    <w:rsid w:val="0006388D"/>
    <w:rsid w:val="000638C6"/>
    <w:rsid w:val="00064668"/>
    <w:rsid w:val="0006479E"/>
    <w:rsid w:val="00065321"/>
    <w:rsid w:val="00065A3E"/>
    <w:rsid w:val="00066037"/>
    <w:rsid w:val="00070287"/>
    <w:rsid w:val="00070E30"/>
    <w:rsid w:val="00071525"/>
    <w:rsid w:val="000723B5"/>
    <w:rsid w:val="00072643"/>
    <w:rsid w:val="00072CB0"/>
    <w:rsid w:val="0007386F"/>
    <w:rsid w:val="00074A21"/>
    <w:rsid w:val="00074CCB"/>
    <w:rsid w:val="00074E46"/>
    <w:rsid w:val="00074FBB"/>
    <w:rsid w:val="000751FD"/>
    <w:rsid w:val="00075A99"/>
    <w:rsid w:val="00075CEA"/>
    <w:rsid w:val="00076093"/>
    <w:rsid w:val="0007680A"/>
    <w:rsid w:val="000768EC"/>
    <w:rsid w:val="00077275"/>
    <w:rsid w:val="000773A6"/>
    <w:rsid w:val="00077B40"/>
    <w:rsid w:val="00077CF9"/>
    <w:rsid w:val="000802A8"/>
    <w:rsid w:val="0008031A"/>
    <w:rsid w:val="0008047D"/>
    <w:rsid w:val="00080E37"/>
    <w:rsid w:val="00081424"/>
    <w:rsid w:val="00081845"/>
    <w:rsid w:val="0008296B"/>
    <w:rsid w:val="00082D2F"/>
    <w:rsid w:val="00082F26"/>
    <w:rsid w:val="000832CC"/>
    <w:rsid w:val="00083314"/>
    <w:rsid w:val="0008393D"/>
    <w:rsid w:val="00083C56"/>
    <w:rsid w:val="00084290"/>
    <w:rsid w:val="00084C3C"/>
    <w:rsid w:val="00085529"/>
    <w:rsid w:val="0008564D"/>
    <w:rsid w:val="00085FDA"/>
    <w:rsid w:val="00086F7E"/>
    <w:rsid w:val="00087359"/>
    <w:rsid w:val="000873CA"/>
    <w:rsid w:val="00087EE2"/>
    <w:rsid w:val="000900A3"/>
    <w:rsid w:val="000905C3"/>
    <w:rsid w:val="000908FE"/>
    <w:rsid w:val="000909AB"/>
    <w:rsid w:val="00091276"/>
    <w:rsid w:val="00091658"/>
    <w:rsid w:val="00091C79"/>
    <w:rsid w:val="00091C9C"/>
    <w:rsid w:val="00091CC1"/>
    <w:rsid w:val="00091D3A"/>
    <w:rsid w:val="0009205C"/>
    <w:rsid w:val="00092B14"/>
    <w:rsid w:val="000939E0"/>
    <w:rsid w:val="00093EE9"/>
    <w:rsid w:val="00094101"/>
    <w:rsid w:val="000949DF"/>
    <w:rsid w:val="0009525F"/>
    <w:rsid w:val="00095B18"/>
    <w:rsid w:val="00095C54"/>
    <w:rsid w:val="000964BE"/>
    <w:rsid w:val="00096F6A"/>
    <w:rsid w:val="000977FA"/>
    <w:rsid w:val="00097DBA"/>
    <w:rsid w:val="000A07E2"/>
    <w:rsid w:val="000A0A14"/>
    <w:rsid w:val="000A0A22"/>
    <w:rsid w:val="000A0D41"/>
    <w:rsid w:val="000A2B02"/>
    <w:rsid w:val="000A37B6"/>
    <w:rsid w:val="000A3BDA"/>
    <w:rsid w:val="000A4446"/>
    <w:rsid w:val="000A4934"/>
    <w:rsid w:val="000A4DFD"/>
    <w:rsid w:val="000A5522"/>
    <w:rsid w:val="000A6035"/>
    <w:rsid w:val="000A6135"/>
    <w:rsid w:val="000A618C"/>
    <w:rsid w:val="000A67A2"/>
    <w:rsid w:val="000A67F4"/>
    <w:rsid w:val="000A683E"/>
    <w:rsid w:val="000A6D03"/>
    <w:rsid w:val="000A7511"/>
    <w:rsid w:val="000A7A81"/>
    <w:rsid w:val="000A7E6F"/>
    <w:rsid w:val="000B091D"/>
    <w:rsid w:val="000B0CE8"/>
    <w:rsid w:val="000B0E11"/>
    <w:rsid w:val="000B13A5"/>
    <w:rsid w:val="000B18E9"/>
    <w:rsid w:val="000B3113"/>
    <w:rsid w:val="000B3579"/>
    <w:rsid w:val="000B3920"/>
    <w:rsid w:val="000B3E0D"/>
    <w:rsid w:val="000B3EC3"/>
    <w:rsid w:val="000B4120"/>
    <w:rsid w:val="000B4957"/>
    <w:rsid w:val="000B5506"/>
    <w:rsid w:val="000B57E0"/>
    <w:rsid w:val="000B5A0E"/>
    <w:rsid w:val="000B5F01"/>
    <w:rsid w:val="000B67A7"/>
    <w:rsid w:val="000B6E31"/>
    <w:rsid w:val="000B6F94"/>
    <w:rsid w:val="000B73DD"/>
    <w:rsid w:val="000B7B32"/>
    <w:rsid w:val="000B7B6B"/>
    <w:rsid w:val="000C1A61"/>
    <w:rsid w:val="000C1C0E"/>
    <w:rsid w:val="000C2F27"/>
    <w:rsid w:val="000C30C7"/>
    <w:rsid w:val="000C3A12"/>
    <w:rsid w:val="000C3DBE"/>
    <w:rsid w:val="000C4B10"/>
    <w:rsid w:val="000C5575"/>
    <w:rsid w:val="000C5A53"/>
    <w:rsid w:val="000C5E49"/>
    <w:rsid w:val="000C61A2"/>
    <w:rsid w:val="000C698C"/>
    <w:rsid w:val="000C6A37"/>
    <w:rsid w:val="000C6F26"/>
    <w:rsid w:val="000C6FA0"/>
    <w:rsid w:val="000C717B"/>
    <w:rsid w:val="000C7EAC"/>
    <w:rsid w:val="000D0083"/>
    <w:rsid w:val="000D0CF3"/>
    <w:rsid w:val="000D2490"/>
    <w:rsid w:val="000D24F5"/>
    <w:rsid w:val="000D38B2"/>
    <w:rsid w:val="000D4747"/>
    <w:rsid w:val="000D4C2F"/>
    <w:rsid w:val="000D5017"/>
    <w:rsid w:val="000D5845"/>
    <w:rsid w:val="000D61C2"/>
    <w:rsid w:val="000D6DC7"/>
    <w:rsid w:val="000D7570"/>
    <w:rsid w:val="000D785B"/>
    <w:rsid w:val="000D7A1A"/>
    <w:rsid w:val="000E013E"/>
    <w:rsid w:val="000E01C3"/>
    <w:rsid w:val="000E0F63"/>
    <w:rsid w:val="000E15A8"/>
    <w:rsid w:val="000E1C08"/>
    <w:rsid w:val="000E272B"/>
    <w:rsid w:val="000E48FC"/>
    <w:rsid w:val="000E4C3E"/>
    <w:rsid w:val="000E5111"/>
    <w:rsid w:val="000E58ED"/>
    <w:rsid w:val="000E644D"/>
    <w:rsid w:val="000E65F1"/>
    <w:rsid w:val="000E7228"/>
    <w:rsid w:val="000E7352"/>
    <w:rsid w:val="000E7D6B"/>
    <w:rsid w:val="000F102F"/>
    <w:rsid w:val="000F2EF5"/>
    <w:rsid w:val="000F30D1"/>
    <w:rsid w:val="000F3A8B"/>
    <w:rsid w:val="000F488A"/>
    <w:rsid w:val="000F5A80"/>
    <w:rsid w:val="000F698B"/>
    <w:rsid w:val="000F79A6"/>
    <w:rsid w:val="000F7C7B"/>
    <w:rsid w:val="000F7D5E"/>
    <w:rsid w:val="000F7F46"/>
    <w:rsid w:val="00100757"/>
    <w:rsid w:val="00101013"/>
    <w:rsid w:val="00101D1D"/>
    <w:rsid w:val="00102817"/>
    <w:rsid w:val="00102CCF"/>
    <w:rsid w:val="00102EEA"/>
    <w:rsid w:val="00104567"/>
    <w:rsid w:val="0010479B"/>
    <w:rsid w:val="00104D72"/>
    <w:rsid w:val="001051A1"/>
    <w:rsid w:val="00105807"/>
    <w:rsid w:val="00106781"/>
    <w:rsid w:val="0010797F"/>
    <w:rsid w:val="00107C2D"/>
    <w:rsid w:val="00110549"/>
    <w:rsid w:val="001105FD"/>
    <w:rsid w:val="00110FED"/>
    <w:rsid w:val="00111298"/>
    <w:rsid w:val="0011132A"/>
    <w:rsid w:val="001116BE"/>
    <w:rsid w:val="00111ACD"/>
    <w:rsid w:val="00111D4D"/>
    <w:rsid w:val="00112828"/>
    <w:rsid w:val="001129DA"/>
    <w:rsid w:val="00112C53"/>
    <w:rsid w:val="00112D19"/>
    <w:rsid w:val="00113708"/>
    <w:rsid w:val="001137B0"/>
    <w:rsid w:val="001137E9"/>
    <w:rsid w:val="00113818"/>
    <w:rsid w:val="00113D27"/>
    <w:rsid w:val="00114903"/>
    <w:rsid w:val="00114ADA"/>
    <w:rsid w:val="001152BC"/>
    <w:rsid w:val="00115CC4"/>
    <w:rsid w:val="00116D49"/>
    <w:rsid w:val="00117D67"/>
    <w:rsid w:val="00120DBD"/>
    <w:rsid w:val="00120FCA"/>
    <w:rsid w:val="001215E2"/>
    <w:rsid w:val="001216F9"/>
    <w:rsid w:val="00122C00"/>
    <w:rsid w:val="00123162"/>
    <w:rsid w:val="00123F34"/>
    <w:rsid w:val="00125715"/>
    <w:rsid w:val="00126380"/>
    <w:rsid w:val="00126B9A"/>
    <w:rsid w:val="0012708A"/>
    <w:rsid w:val="001270E2"/>
    <w:rsid w:val="0012728D"/>
    <w:rsid w:val="001303D3"/>
    <w:rsid w:val="001309EC"/>
    <w:rsid w:val="00130D37"/>
    <w:rsid w:val="00132205"/>
    <w:rsid w:val="001322F0"/>
    <w:rsid w:val="001328FF"/>
    <w:rsid w:val="0013290E"/>
    <w:rsid w:val="00132ED2"/>
    <w:rsid w:val="001336C1"/>
    <w:rsid w:val="001346F6"/>
    <w:rsid w:val="001348B1"/>
    <w:rsid w:val="001349A5"/>
    <w:rsid w:val="00134F61"/>
    <w:rsid w:val="00136136"/>
    <w:rsid w:val="00136590"/>
    <w:rsid w:val="00136ADE"/>
    <w:rsid w:val="00136D07"/>
    <w:rsid w:val="00141393"/>
    <w:rsid w:val="001418D0"/>
    <w:rsid w:val="0014223C"/>
    <w:rsid w:val="00142369"/>
    <w:rsid w:val="00142A8B"/>
    <w:rsid w:val="00142BE9"/>
    <w:rsid w:val="00142D32"/>
    <w:rsid w:val="00143394"/>
    <w:rsid w:val="00143A5A"/>
    <w:rsid w:val="001445BE"/>
    <w:rsid w:val="00144770"/>
    <w:rsid w:val="00144C35"/>
    <w:rsid w:val="00145B84"/>
    <w:rsid w:val="00145E1C"/>
    <w:rsid w:val="001472D9"/>
    <w:rsid w:val="001474E5"/>
    <w:rsid w:val="0014761D"/>
    <w:rsid w:val="00147B50"/>
    <w:rsid w:val="0015022F"/>
    <w:rsid w:val="0015048C"/>
    <w:rsid w:val="001506E2"/>
    <w:rsid w:val="00150A27"/>
    <w:rsid w:val="001511D0"/>
    <w:rsid w:val="001517C2"/>
    <w:rsid w:val="00151EF9"/>
    <w:rsid w:val="00152083"/>
    <w:rsid w:val="001529C3"/>
    <w:rsid w:val="00152D1E"/>
    <w:rsid w:val="0015408A"/>
    <w:rsid w:val="0015462F"/>
    <w:rsid w:val="00154CBD"/>
    <w:rsid w:val="00154FB5"/>
    <w:rsid w:val="001553C0"/>
    <w:rsid w:val="00155561"/>
    <w:rsid w:val="00155D47"/>
    <w:rsid w:val="00155E39"/>
    <w:rsid w:val="00155F8D"/>
    <w:rsid w:val="00157445"/>
    <w:rsid w:val="001578DB"/>
    <w:rsid w:val="00157FFC"/>
    <w:rsid w:val="001602AC"/>
    <w:rsid w:val="00160C58"/>
    <w:rsid w:val="00162C6A"/>
    <w:rsid w:val="00163966"/>
    <w:rsid w:val="00164182"/>
    <w:rsid w:val="00164F58"/>
    <w:rsid w:val="0016587C"/>
    <w:rsid w:val="00165A7D"/>
    <w:rsid w:val="00166244"/>
    <w:rsid w:val="00167348"/>
    <w:rsid w:val="001707C0"/>
    <w:rsid w:val="00172805"/>
    <w:rsid w:val="00172A38"/>
    <w:rsid w:val="00172C29"/>
    <w:rsid w:val="00172F4E"/>
    <w:rsid w:val="00173C22"/>
    <w:rsid w:val="00174370"/>
    <w:rsid w:val="00174E70"/>
    <w:rsid w:val="00175815"/>
    <w:rsid w:val="00175924"/>
    <w:rsid w:val="00175CEC"/>
    <w:rsid w:val="00176408"/>
    <w:rsid w:val="0017645A"/>
    <w:rsid w:val="00177343"/>
    <w:rsid w:val="0017744C"/>
    <w:rsid w:val="0017755B"/>
    <w:rsid w:val="0018055B"/>
    <w:rsid w:val="001808EC"/>
    <w:rsid w:val="00180B45"/>
    <w:rsid w:val="00180E77"/>
    <w:rsid w:val="00182650"/>
    <w:rsid w:val="00182F96"/>
    <w:rsid w:val="00183B46"/>
    <w:rsid w:val="0018424A"/>
    <w:rsid w:val="00184362"/>
    <w:rsid w:val="0018475E"/>
    <w:rsid w:val="00184E3E"/>
    <w:rsid w:val="001850B6"/>
    <w:rsid w:val="0018518A"/>
    <w:rsid w:val="00185A4B"/>
    <w:rsid w:val="00186469"/>
    <w:rsid w:val="00186B86"/>
    <w:rsid w:val="00187F53"/>
    <w:rsid w:val="00190834"/>
    <w:rsid w:val="00190C2E"/>
    <w:rsid w:val="00190CDE"/>
    <w:rsid w:val="00191982"/>
    <w:rsid w:val="00191F65"/>
    <w:rsid w:val="00192B92"/>
    <w:rsid w:val="00192EE3"/>
    <w:rsid w:val="001930AF"/>
    <w:rsid w:val="001938E8"/>
    <w:rsid w:val="00193CB7"/>
    <w:rsid w:val="00193FC6"/>
    <w:rsid w:val="001949AA"/>
    <w:rsid w:val="00194C30"/>
    <w:rsid w:val="00194FCB"/>
    <w:rsid w:val="0019561D"/>
    <w:rsid w:val="00195BF0"/>
    <w:rsid w:val="00195E27"/>
    <w:rsid w:val="00196078"/>
    <w:rsid w:val="00196860"/>
    <w:rsid w:val="0019760E"/>
    <w:rsid w:val="00197C17"/>
    <w:rsid w:val="00197F95"/>
    <w:rsid w:val="001A07B7"/>
    <w:rsid w:val="001A0895"/>
    <w:rsid w:val="001A12FF"/>
    <w:rsid w:val="001A130B"/>
    <w:rsid w:val="001A15C4"/>
    <w:rsid w:val="001A1666"/>
    <w:rsid w:val="001A1716"/>
    <w:rsid w:val="001A17D7"/>
    <w:rsid w:val="001A1C4E"/>
    <w:rsid w:val="001A2762"/>
    <w:rsid w:val="001A2A7A"/>
    <w:rsid w:val="001A2FE6"/>
    <w:rsid w:val="001A33EE"/>
    <w:rsid w:val="001A395E"/>
    <w:rsid w:val="001A3DE7"/>
    <w:rsid w:val="001A485C"/>
    <w:rsid w:val="001A4A93"/>
    <w:rsid w:val="001A4CE2"/>
    <w:rsid w:val="001A531F"/>
    <w:rsid w:val="001A54C8"/>
    <w:rsid w:val="001A5C74"/>
    <w:rsid w:val="001A6173"/>
    <w:rsid w:val="001A73C4"/>
    <w:rsid w:val="001A7530"/>
    <w:rsid w:val="001B044C"/>
    <w:rsid w:val="001B0C4E"/>
    <w:rsid w:val="001B0E56"/>
    <w:rsid w:val="001B2478"/>
    <w:rsid w:val="001B259E"/>
    <w:rsid w:val="001B275B"/>
    <w:rsid w:val="001B3A93"/>
    <w:rsid w:val="001B4211"/>
    <w:rsid w:val="001B4358"/>
    <w:rsid w:val="001B47C9"/>
    <w:rsid w:val="001B5812"/>
    <w:rsid w:val="001B5AFC"/>
    <w:rsid w:val="001B620C"/>
    <w:rsid w:val="001B63E2"/>
    <w:rsid w:val="001B68EA"/>
    <w:rsid w:val="001B735D"/>
    <w:rsid w:val="001C0141"/>
    <w:rsid w:val="001C0CF1"/>
    <w:rsid w:val="001C18E1"/>
    <w:rsid w:val="001C1D28"/>
    <w:rsid w:val="001C25D5"/>
    <w:rsid w:val="001C28BB"/>
    <w:rsid w:val="001C2DA2"/>
    <w:rsid w:val="001C3092"/>
    <w:rsid w:val="001C309D"/>
    <w:rsid w:val="001C33F6"/>
    <w:rsid w:val="001C3602"/>
    <w:rsid w:val="001C3A19"/>
    <w:rsid w:val="001C3E2F"/>
    <w:rsid w:val="001C492D"/>
    <w:rsid w:val="001C65C7"/>
    <w:rsid w:val="001C66B5"/>
    <w:rsid w:val="001C6B1E"/>
    <w:rsid w:val="001C70DD"/>
    <w:rsid w:val="001C7648"/>
    <w:rsid w:val="001C7F5D"/>
    <w:rsid w:val="001D0108"/>
    <w:rsid w:val="001D011D"/>
    <w:rsid w:val="001D071B"/>
    <w:rsid w:val="001D08F4"/>
    <w:rsid w:val="001D0BB6"/>
    <w:rsid w:val="001D0FBC"/>
    <w:rsid w:val="001D113B"/>
    <w:rsid w:val="001D1952"/>
    <w:rsid w:val="001D1CC7"/>
    <w:rsid w:val="001D2DF4"/>
    <w:rsid w:val="001D30C6"/>
    <w:rsid w:val="001D486E"/>
    <w:rsid w:val="001D4AD2"/>
    <w:rsid w:val="001D5095"/>
    <w:rsid w:val="001D51DA"/>
    <w:rsid w:val="001D522E"/>
    <w:rsid w:val="001D6A16"/>
    <w:rsid w:val="001D6A36"/>
    <w:rsid w:val="001D6B5F"/>
    <w:rsid w:val="001D73F5"/>
    <w:rsid w:val="001D7874"/>
    <w:rsid w:val="001D7FB5"/>
    <w:rsid w:val="001E0203"/>
    <w:rsid w:val="001E07DB"/>
    <w:rsid w:val="001E0935"/>
    <w:rsid w:val="001E165C"/>
    <w:rsid w:val="001E176B"/>
    <w:rsid w:val="001E1DB8"/>
    <w:rsid w:val="001E23A6"/>
    <w:rsid w:val="001E2E94"/>
    <w:rsid w:val="001E3A77"/>
    <w:rsid w:val="001E3E81"/>
    <w:rsid w:val="001E4AB1"/>
    <w:rsid w:val="001E4E3B"/>
    <w:rsid w:val="001E57D5"/>
    <w:rsid w:val="001E5948"/>
    <w:rsid w:val="001E5A86"/>
    <w:rsid w:val="001E640D"/>
    <w:rsid w:val="001E66E0"/>
    <w:rsid w:val="001E7686"/>
    <w:rsid w:val="001F00FE"/>
    <w:rsid w:val="001F03DE"/>
    <w:rsid w:val="001F0A8D"/>
    <w:rsid w:val="001F0AC8"/>
    <w:rsid w:val="001F0FD6"/>
    <w:rsid w:val="001F12E5"/>
    <w:rsid w:val="001F1416"/>
    <w:rsid w:val="001F144A"/>
    <w:rsid w:val="001F195B"/>
    <w:rsid w:val="001F297D"/>
    <w:rsid w:val="001F351B"/>
    <w:rsid w:val="001F3E2F"/>
    <w:rsid w:val="001F4CA1"/>
    <w:rsid w:val="001F5253"/>
    <w:rsid w:val="001F5319"/>
    <w:rsid w:val="001F5E22"/>
    <w:rsid w:val="001F5F7B"/>
    <w:rsid w:val="001F629C"/>
    <w:rsid w:val="001F631C"/>
    <w:rsid w:val="001F6735"/>
    <w:rsid w:val="001F67B2"/>
    <w:rsid w:val="001F70E2"/>
    <w:rsid w:val="001F7CEE"/>
    <w:rsid w:val="002000B6"/>
    <w:rsid w:val="00200B48"/>
    <w:rsid w:val="00201B0B"/>
    <w:rsid w:val="00201D6B"/>
    <w:rsid w:val="0020234E"/>
    <w:rsid w:val="0020240A"/>
    <w:rsid w:val="002024C3"/>
    <w:rsid w:val="00202D22"/>
    <w:rsid w:val="0020307F"/>
    <w:rsid w:val="00203513"/>
    <w:rsid w:val="00203F08"/>
    <w:rsid w:val="00205438"/>
    <w:rsid w:val="0020670A"/>
    <w:rsid w:val="002068DD"/>
    <w:rsid w:val="00206D8C"/>
    <w:rsid w:val="00207DF1"/>
    <w:rsid w:val="0021013A"/>
    <w:rsid w:val="00210199"/>
    <w:rsid w:val="00210767"/>
    <w:rsid w:val="00210E24"/>
    <w:rsid w:val="0021130A"/>
    <w:rsid w:val="002115D3"/>
    <w:rsid w:val="00211C01"/>
    <w:rsid w:val="002124A5"/>
    <w:rsid w:val="00212676"/>
    <w:rsid w:val="00212855"/>
    <w:rsid w:val="00212D0A"/>
    <w:rsid w:val="00212DA7"/>
    <w:rsid w:val="00213A18"/>
    <w:rsid w:val="00213E05"/>
    <w:rsid w:val="00214C1B"/>
    <w:rsid w:val="00214FE2"/>
    <w:rsid w:val="00215747"/>
    <w:rsid w:val="00215A0C"/>
    <w:rsid w:val="00215A32"/>
    <w:rsid w:val="00215FFB"/>
    <w:rsid w:val="002161F7"/>
    <w:rsid w:val="00216398"/>
    <w:rsid w:val="0021646D"/>
    <w:rsid w:val="00216F0B"/>
    <w:rsid w:val="00216F80"/>
    <w:rsid w:val="0021789B"/>
    <w:rsid w:val="00217CE1"/>
    <w:rsid w:val="0022037F"/>
    <w:rsid w:val="002208C0"/>
    <w:rsid w:val="00220B40"/>
    <w:rsid w:val="00220E12"/>
    <w:rsid w:val="00220E3F"/>
    <w:rsid w:val="002211A5"/>
    <w:rsid w:val="002213ED"/>
    <w:rsid w:val="00221FC7"/>
    <w:rsid w:val="002221FA"/>
    <w:rsid w:val="00222274"/>
    <w:rsid w:val="00222AA6"/>
    <w:rsid w:val="002236CC"/>
    <w:rsid w:val="00224477"/>
    <w:rsid w:val="002246CD"/>
    <w:rsid w:val="00224EB5"/>
    <w:rsid w:val="002258D4"/>
    <w:rsid w:val="0022594C"/>
    <w:rsid w:val="00225D17"/>
    <w:rsid w:val="00225D4B"/>
    <w:rsid w:val="00225FC4"/>
    <w:rsid w:val="00226DB2"/>
    <w:rsid w:val="002277BD"/>
    <w:rsid w:val="002309B4"/>
    <w:rsid w:val="00230FDC"/>
    <w:rsid w:val="00231008"/>
    <w:rsid w:val="00231384"/>
    <w:rsid w:val="00231408"/>
    <w:rsid w:val="002314E5"/>
    <w:rsid w:val="002327B8"/>
    <w:rsid w:val="00233BAE"/>
    <w:rsid w:val="00233BB0"/>
    <w:rsid w:val="002341B9"/>
    <w:rsid w:val="00234562"/>
    <w:rsid w:val="00234D0C"/>
    <w:rsid w:val="0023529B"/>
    <w:rsid w:val="002361BF"/>
    <w:rsid w:val="002364C5"/>
    <w:rsid w:val="0023708F"/>
    <w:rsid w:val="00237974"/>
    <w:rsid w:val="00237B5E"/>
    <w:rsid w:val="00240A8E"/>
    <w:rsid w:val="00240E8F"/>
    <w:rsid w:val="002418E7"/>
    <w:rsid w:val="00241B70"/>
    <w:rsid w:val="002428E3"/>
    <w:rsid w:val="002429EF"/>
    <w:rsid w:val="00242A63"/>
    <w:rsid w:val="00242D62"/>
    <w:rsid w:val="0024323A"/>
    <w:rsid w:val="0024376F"/>
    <w:rsid w:val="00243B2B"/>
    <w:rsid w:val="00243C39"/>
    <w:rsid w:val="0024401F"/>
    <w:rsid w:val="00244470"/>
    <w:rsid w:val="00244F6E"/>
    <w:rsid w:val="002462A1"/>
    <w:rsid w:val="002463C8"/>
    <w:rsid w:val="0024653F"/>
    <w:rsid w:val="002465C0"/>
    <w:rsid w:val="0024694B"/>
    <w:rsid w:val="002476BE"/>
    <w:rsid w:val="00247730"/>
    <w:rsid w:val="00250354"/>
    <w:rsid w:val="00250498"/>
    <w:rsid w:val="00250B17"/>
    <w:rsid w:val="00250D74"/>
    <w:rsid w:val="002517A7"/>
    <w:rsid w:val="00251B46"/>
    <w:rsid w:val="00251D5E"/>
    <w:rsid w:val="00251FD3"/>
    <w:rsid w:val="00252832"/>
    <w:rsid w:val="002528EE"/>
    <w:rsid w:val="002530B2"/>
    <w:rsid w:val="002532B6"/>
    <w:rsid w:val="00253B1B"/>
    <w:rsid w:val="002549DB"/>
    <w:rsid w:val="00255084"/>
    <w:rsid w:val="00255B25"/>
    <w:rsid w:val="00255D9E"/>
    <w:rsid w:val="00256692"/>
    <w:rsid w:val="00256CF1"/>
    <w:rsid w:val="0025786E"/>
    <w:rsid w:val="00257C06"/>
    <w:rsid w:val="00260160"/>
    <w:rsid w:val="00261ED4"/>
    <w:rsid w:val="00262085"/>
    <w:rsid w:val="00262416"/>
    <w:rsid w:val="0026266F"/>
    <w:rsid w:val="00262B15"/>
    <w:rsid w:val="00263550"/>
    <w:rsid w:val="00263B64"/>
    <w:rsid w:val="00264400"/>
    <w:rsid w:val="00264EB4"/>
    <w:rsid w:val="0026566E"/>
    <w:rsid w:val="002656B4"/>
    <w:rsid w:val="00265C26"/>
    <w:rsid w:val="00265F7F"/>
    <w:rsid w:val="00266008"/>
    <w:rsid w:val="00266639"/>
    <w:rsid w:val="0026767D"/>
    <w:rsid w:val="0026790A"/>
    <w:rsid w:val="00267A43"/>
    <w:rsid w:val="002703D6"/>
    <w:rsid w:val="00270AFA"/>
    <w:rsid w:val="00272255"/>
    <w:rsid w:val="00272869"/>
    <w:rsid w:val="002729CB"/>
    <w:rsid w:val="002734CE"/>
    <w:rsid w:val="00273A04"/>
    <w:rsid w:val="00273ACB"/>
    <w:rsid w:val="00273B43"/>
    <w:rsid w:val="00273D6D"/>
    <w:rsid w:val="002747E3"/>
    <w:rsid w:val="00274C7A"/>
    <w:rsid w:val="00275C00"/>
    <w:rsid w:val="0027661D"/>
    <w:rsid w:val="00276822"/>
    <w:rsid w:val="002769AE"/>
    <w:rsid w:val="00277D14"/>
    <w:rsid w:val="00277E4F"/>
    <w:rsid w:val="00280263"/>
    <w:rsid w:val="0028082B"/>
    <w:rsid w:val="00281117"/>
    <w:rsid w:val="0028214B"/>
    <w:rsid w:val="0028246A"/>
    <w:rsid w:val="002824E9"/>
    <w:rsid w:val="00282634"/>
    <w:rsid w:val="0028315D"/>
    <w:rsid w:val="00283579"/>
    <w:rsid w:val="0028363F"/>
    <w:rsid w:val="00284013"/>
    <w:rsid w:val="0028465C"/>
    <w:rsid w:val="002846A2"/>
    <w:rsid w:val="00284B86"/>
    <w:rsid w:val="00285087"/>
    <w:rsid w:val="0028680A"/>
    <w:rsid w:val="002868B4"/>
    <w:rsid w:val="0028778A"/>
    <w:rsid w:val="002879CD"/>
    <w:rsid w:val="00287A63"/>
    <w:rsid w:val="00287B82"/>
    <w:rsid w:val="00287FCD"/>
    <w:rsid w:val="0029084A"/>
    <w:rsid w:val="00291338"/>
    <w:rsid w:val="002914BB"/>
    <w:rsid w:val="0029159E"/>
    <w:rsid w:val="0029189D"/>
    <w:rsid w:val="002918B7"/>
    <w:rsid w:val="002921FB"/>
    <w:rsid w:val="002924F7"/>
    <w:rsid w:val="002925A8"/>
    <w:rsid w:val="00293171"/>
    <w:rsid w:val="00293982"/>
    <w:rsid w:val="00293E5D"/>
    <w:rsid w:val="00294299"/>
    <w:rsid w:val="00294633"/>
    <w:rsid w:val="0029577A"/>
    <w:rsid w:val="00295C61"/>
    <w:rsid w:val="002965DE"/>
    <w:rsid w:val="002A0129"/>
    <w:rsid w:val="002A02D8"/>
    <w:rsid w:val="002A0FA2"/>
    <w:rsid w:val="002A0FD9"/>
    <w:rsid w:val="002A171F"/>
    <w:rsid w:val="002A3131"/>
    <w:rsid w:val="002A4268"/>
    <w:rsid w:val="002A598B"/>
    <w:rsid w:val="002A59EE"/>
    <w:rsid w:val="002A5B92"/>
    <w:rsid w:val="002A6728"/>
    <w:rsid w:val="002A6905"/>
    <w:rsid w:val="002A6CFB"/>
    <w:rsid w:val="002A6FC5"/>
    <w:rsid w:val="002A72BB"/>
    <w:rsid w:val="002A7622"/>
    <w:rsid w:val="002B00AE"/>
    <w:rsid w:val="002B0EB5"/>
    <w:rsid w:val="002B2998"/>
    <w:rsid w:val="002B2C64"/>
    <w:rsid w:val="002B2CE4"/>
    <w:rsid w:val="002B2EAF"/>
    <w:rsid w:val="002B334D"/>
    <w:rsid w:val="002B34D6"/>
    <w:rsid w:val="002B38DE"/>
    <w:rsid w:val="002B423A"/>
    <w:rsid w:val="002B4E9D"/>
    <w:rsid w:val="002B4FB0"/>
    <w:rsid w:val="002B52D9"/>
    <w:rsid w:val="002B5465"/>
    <w:rsid w:val="002B5791"/>
    <w:rsid w:val="002B5BDA"/>
    <w:rsid w:val="002B6720"/>
    <w:rsid w:val="002B6B47"/>
    <w:rsid w:val="002B6B94"/>
    <w:rsid w:val="002B6C96"/>
    <w:rsid w:val="002B6D3A"/>
    <w:rsid w:val="002B6D77"/>
    <w:rsid w:val="002B6DA0"/>
    <w:rsid w:val="002B70AE"/>
    <w:rsid w:val="002B7337"/>
    <w:rsid w:val="002B7A66"/>
    <w:rsid w:val="002C01F4"/>
    <w:rsid w:val="002C0410"/>
    <w:rsid w:val="002C06D1"/>
    <w:rsid w:val="002C0775"/>
    <w:rsid w:val="002C0AC1"/>
    <w:rsid w:val="002C0C3B"/>
    <w:rsid w:val="002C108E"/>
    <w:rsid w:val="002C11F0"/>
    <w:rsid w:val="002C246E"/>
    <w:rsid w:val="002C4934"/>
    <w:rsid w:val="002C4C78"/>
    <w:rsid w:val="002C5378"/>
    <w:rsid w:val="002C5EC9"/>
    <w:rsid w:val="002C635F"/>
    <w:rsid w:val="002C639B"/>
    <w:rsid w:val="002C6C03"/>
    <w:rsid w:val="002C744B"/>
    <w:rsid w:val="002C7DE0"/>
    <w:rsid w:val="002D0A33"/>
    <w:rsid w:val="002D0BD9"/>
    <w:rsid w:val="002D0E97"/>
    <w:rsid w:val="002D1316"/>
    <w:rsid w:val="002D14C4"/>
    <w:rsid w:val="002D1DD5"/>
    <w:rsid w:val="002D1E0A"/>
    <w:rsid w:val="002D1EB8"/>
    <w:rsid w:val="002D222D"/>
    <w:rsid w:val="002D2A24"/>
    <w:rsid w:val="002D2C9D"/>
    <w:rsid w:val="002D2FB5"/>
    <w:rsid w:val="002D37CD"/>
    <w:rsid w:val="002D42A4"/>
    <w:rsid w:val="002D4605"/>
    <w:rsid w:val="002D4AC0"/>
    <w:rsid w:val="002D4CE1"/>
    <w:rsid w:val="002D6155"/>
    <w:rsid w:val="002D61A0"/>
    <w:rsid w:val="002D688F"/>
    <w:rsid w:val="002D76BB"/>
    <w:rsid w:val="002E0A5D"/>
    <w:rsid w:val="002E103B"/>
    <w:rsid w:val="002E1881"/>
    <w:rsid w:val="002E1BCF"/>
    <w:rsid w:val="002E2128"/>
    <w:rsid w:val="002E25D3"/>
    <w:rsid w:val="002E277B"/>
    <w:rsid w:val="002E2C59"/>
    <w:rsid w:val="002E2D97"/>
    <w:rsid w:val="002E378F"/>
    <w:rsid w:val="002E44C8"/>
    <w:rsid w:val="002E5EA2"/>
    <w:rsid w:val="002E62ED"/>
    <w:rsid w:val="002E6E04"/>
    <w:rsid w:val="002E6EE3"/>
    <w:rsid w:val="002E7523"/>
    <w:rsid w:val="002E7DBB"/>
    <w:rsid w:val="002F0090"/>
    <w:rsid w:val="002F08DC"/>
    <w:rsid w:val="002F0B98"/>
    <w:rsid w:val="002F1A1D"/>
    <w:rsid w:val="002F22E1"/>
    <w:rsid w:val="002F35A1"/>
    <w:rsid w:val="002F3BAF"/>
    <w:rsid w:val="002F3C2D"/>
    <w:rsid w:val="002F3CB2"/>
    <w:rsid w:val="002F401E"/>
    <w:rsid w:val="002F4324"/>
    <w:rsid w:val="002F45BC"/>
    <w:rsid w:val="002F4723"/>
    <w:rsid w:val="002F5D01"/>
    <w:rsid w:val="002F616C"/>
    <w:rsid w:val="002F6D7F"/>
    <w:rsid w:val="002F6E3D"/>
    <w:rsid w:val="002F783C"/>
    <w:rsid w:val="002F7BE9"/>
    <w:rsid w:val="0030026B"/>
    <w:rsid w:val="00300ED7"/>
    <w:rsid w:val="00300F92"/>
    <w:rsid w:val="00300FD9"/>
    <w:rsid w:val="00301717"/>
    <w:rsid w:val="003027E9"/>
    <w:rsid w:val="00302E2A"/>
    <w:rsid w:val="00302FB7"/>
    <w:rsid w:val="003037BC"/>
    <w:rsid w:val="00303F86"/>
    <w:rsid w:val="003044CF"/>
    <w:rsid w:val="00304533"/>
    <w:rsid w:val="0030510F"/>
    <w:rsid w:val="003059D9"/>
    <w:rsid w:val="00306F04"/>
    <w:rsid w:val="00306F5D"/>
    <w:rsid w:val="00307153"/>
    <w:rsid w:val="003074B5"/>
    <w:rsid w:val="003104B0"/>
    <w:rsid w:val="00310503"/>
    <w:rsid w:val="00310729"/>
    <w:rsid w:val="00310F85"/>
    <w:rsid w:val="00311065"/>
    <w:rsid w:val="00311315"/>
    <w:rsid w:val="003113C1"/>
    <w:rsid w:val="003116ED"/>
    <w:rsid w:val="00311DC2"/>
    <w:rsid w:val="0031306A"/>
    <w:rsid w:val="00313AF3"/>
    <w:rsid w:val="00313E3B"/>
    <w:rsid w:val="003152E6"/>
    <w:rsid w:val="00315576"/>
    <w:rsid w:val="003158B9"/>
    <w:rsid w:val="003159E9"/>
    <w:rsid w:val="00316065"/>
    <w:rsid w:val="0031659C"/>
    <w:rsid w:val="003165D9"/>
    <w:rsid w:val="0031675B"/>
    <w:rsid w:val="003167AE"/>
    <w:rsid w:val="0031720A"/>
    <w:rsid w:val="00317D4E"/>
    <w:rsid w:val="00321069"/>
    <w:rsid w:val="00321F11"/>
    <w:rsid w:val="00322181"/>
    <w:rsid w:val="003222CC"/>
    <w:rsid w:val="003222FD"/>
    <w:rsid w:val="00322A12"/>
    <w:rsid w:val="00322FEE"/>
    <w:rsid w:val="00324263"/>
    <w:rsid w:val="00324435"/>
    <w:rsid w:val="00325028"/>
    <w:rsid w:val="00325165"/>
    <w:rsid w:val="00327500"/>
    <w:rsid w:val="003303BA"/>
    <w:rsid w:val="003308CE"/>
    <w:rsid w:val="00330AC3"/>
    <w:rsid w:val="00330E1C"/>
    <w:rsid w:val="0033117A"/>
    <w:rsid w:val="00331B3D"/>
    <w:rsid w:val="003323B2"/>
    <w:rsid w:val="00332981"/>
    <w:rsid w:val="00332ADF"/>
    <w:rsid w:val="00332C04"/>
    <w:rsid w:val="00332D04"/>
    <w:rsid w:val="00332D97"/>
    <w:rsid w:val="00332EE3"/>
    <w:rsid w:val="0033370A"/>
    <w:rsid w:val="00333900"/>
    <w:rsid w:val="00333AEA"/>
    <w:rsid w:val="00333FAA"/>
    <w:rsid w:val="003343FB"/>
    <w:rsid w:val="00334A81"/>
    <w:rsid w:val="00335304"/>
    <w:rsid w:val="003354EA"/>
    <w:rsid w:val="003357AD"/>
    <w:rsid w:val="00335ED1"/>
    <w:rsid w:val="003367DA"/>
    <w:rsid w:val="00336C66"/>
    <w:rsid w:val="00336CAC"/>
    <w:rsid w:val="00337941"/>
    <w:rsid w:val="00341746"/>
    <w:rsid w:val="00342A06"/>
    <w:rsid w:val="003439AB"/>
    <w:rsid w:val="003439EB"/>
    <w:rsid w:val="00344108"/>
    <w:rsid w:val="0034475F"/>
    <w:rsid w:val="00344FAA"/>
    <w:rsid w:val="00345403"/>
    <w:rsid w:val="00345CE8"/>
    <w:rsid w:val="00346E55"/>
    <w:rsid w:val="0034764B"/>
    <w:rsid w:val="0034770D"/>
    <w:rsid w:val="00347CD0"/>
    <w:rsid w:val="00350FF2"/>
    <w:rsid w:val="0035180C"/>
    <w:rsid w:val="00351E4D"/>
    <w:rsid w:val="00351F34"/>
    <w:rsid w:val="003547B8"/>
    <w:rsid w:val="00354CE0"/>
    <w:rsid w:val="0035582B"/>
    <w:rsid w:val="003569D1"/>
    <w:rsid w:val="00357219"/>
    <w:rsid w:val="00357D74"/>
    <w:rsid w:val="003601C7"/>
    <w:rsid w:val="00360DF2"/>
    <w:rsid w:val="00361273"/>
    <w:rsid w:val="003616B9"/>
    <w:rsid w:val="003618E3"/>
    <w:rsid w:val="00361A66"/>
    <w:rsid w:val="00362FE8"/>
    <w:rsid w:val="0036363B"/>
    <w:rsid w:val="00363EEC"/>
    <w:rsid w:val="00364109"/>
    <w:rsid w:val="00364356"/>
    <w:rsid w:val="00364550"/>
    <w:rsid w:val="00364796"/>
    <w:rsid w:val="00364C9E"/>
    <w:rsid w:val="003661C3"/>
    <w:rsid w:val="003662F8"/>
    <w:rsid w:val="003666C1"/>
    <w:rsid w:val="003667DE"/>
    <w:rsid w:val="00366D3D"/>
    <w:rsid w:val="00367407"/>
    <w:rsid w:val="003679B8"/>
    <w:rsid w:val="00367E33"/>
    <w:rsid w:val="00371E12"/>
    <w:rsid w:val="003720EC"/>
    <w:rsid w:val="00372106"/>
    <w:rsid w:val="0037251F"/>
    <w:rsid w:val="00372D46"/>
    <w:rsid w:val="00372E23"/>
    <w:rsid w:val="0037318A"/>
    <w:rsid w:val="00373FC7"/>
    <w:rsid w:val="00374556"/>
    <w:rsid w:val="00374FC9"/>
    <w:rsid w:val="003751FA"/>
    <w:rsid w:val="003752AC"/>
    <w:rsid w:val="00375A27"/>
    <w:rsid w:val="0037647D"/>
    <w:rsid w:val="00376781"/>
    <w:rsid w:val="00377006"/>
    <w:rsid w:val="00377C4F"/>
    <w:rsid w:val="00380472"/>
    <w:rsid w:val="0038078D"/>
    <w:rsid w:val="00380ADC"/>
    <w:rsid w:val="0038183F"/>
    <w:rsid w:val="00381EA8"/>
    <w:rsid w:val="003821BC"/>
    <w:rsid w:val="00382692"/>
    <w:rsid w:val="003830B1"/>
    <w:rsid w:val="003833F1"/>
    <w:rsid w:val="00384927"/>
    <w:rsid w:val="00384994"/>
    <w:rsid w:val="00384BD5"/>
    <w:rsid w:val="00385008"/>
    <w:rsid w:val="00385968"/>
    <w:rsid w:val="00386FE1"/>
    <w:rsid w:val="003907DC"/>
    <w:rsid w:val="00390F53"/>
    <w:rsid w:val="003915F9"/>
    <w:rsid w:val="00391AD2"/>
    <w:rsid w:val="0039203B"/>
    <w:rsid w:val="003929B6"/>
    <w:rsid w:val="00392D5D"/>
    <w:rsid w:val="00393234"/>
    <w:rsid w:val="0039341F"/>
    <w:rsid w:val="00393477"/>
    <w:rsid w:val="00393883"/>
    <w:rsid w:val="003939F9"/>
    <w:rsid w:val="0039487C"/>
    <w:rsid w:val="00394B19"/>
    <w:rsid w:val="0039528A"/>
    <w:rsid w:val="00395516"/>
    <w:rsid w:val="0039582E"/>
    <w:rsid w:val="00395C11"/>
    <w:rsid w:val="00395E92"/>
    <w:rsid w:val="003962B8"/>
    <w:rsid w:val="00396B44"/>
    <w:rsid w:val="00396BBF"/>
    <w:rsid w:val="00396D62"/>
    <w:rsid w:val="00396DF7"/>
    <w:rsid w:val="003976E3"/>
    <w:rsid w:val="0039782A"/>
    <w:rsid w:val="00397B48"/>
    <w:rsid w:val="003A01C0"/>
    <w:rsid w:val="003A05E6"/>
    <w:rsid w:val="003A134E"/>
    <w:rsid w:val="003A1A4B"/>
    <w:rsid w:val="003A239D"/>
    <w:rsid w:val="003A2760"/>
    <w:rsid w:val="003A2A2D"/>
    <w:rsid w:val="003A375A"/>
    <w:rsid w:val="003A3893"/>
    <w:rsid w:val="003A3DA9"/>
    <w:rsid w:val="003A54D7"/>
    <w:rsid w:val="003A56E8"/>
    <w:rsid w:val="003A57D8"/>
    <w:rsid w:val="003A5AB8"/>
    <w:rsid w:val="003A5C6C"/>
    <w:rsid w:val="003A6473"/>
    <w:rsid w:val="003A6A8B"/>
    <w:rsid w:val="003A7AA6"/>
    <w:rsid w:val="003A7B6A"/>
    <w:rsid w:val="003B165B"/>
    <w:rsid w:val="003B1A94"/>
    <w:rsid w:val="003B1EFA"/>
    <w:rsid w:val="003B2189"/>
    <w:rsid w:val="003B2ED5"/>
    <w:rsid w:val="003B42E3"/>
    <w:rsid w:val="003B44B6"/>
    <w:rsid w:val="003B4CBC"/>
    <w:rsid w:val="003B605A"/>
    <w:rsid w:val="003B63C4"/>
    <w:rsid w:val="003B6AFB"/>
    <w:rsid w:val="003B74DC"/>
    <w:rsid w:val="003B7657"/>
    <w:rsid w:val="003B77B4"/>
    <w:rsid w:val="003C0383"/>
    <w:rsid w:val="003C0E25"/>
    <w:rsid w:val="003C1D82"/>
    <w:rsid w:val="003C1E73"/>
    <w:rsid w:val="003C1F21"/>
    <w:rsid w:val="003C22CA"/>
    <w:rsid w:val="003C22EA"/>
    <w:rsid w:val="003C2551"/>
    <w:rsid w:val="003C266B"/>
    <w:rsid w:val="003C2E64"/>
    <w:rsid w:val="003C3506"/>
    <w:rsid w:val="003C38B1"/>
    <w:rsid w:val="003C3B31"/>
    <w:rsid w:val="003C3BA7"/>
    <w:rsid w:val="003C40E1"/>
    <w:rsid w:val="003C4459"/>
    <w:rsid w:val="003C4E81"/>
    <w:rsid w:val="003C53EC"/>
    <w:rsid w:val="003C5442"/>
    <w:rsid w:val="003C566F"/>
    <w:rsid w:val="003C599D"/>
    <w:rsid w:val="003C59B9"/>
    <w:rsid w:val="003C5C45"/>
    <w:rsid w:val="003C5D72"/>
    <w:rsid w:val="003C5DC5"/>
    <w:rsid w:val="003C62A1"/>
    <w:rsid w:val="003C7765"/>
    <w:rsid w:val="003C7CF1"/>
    <w:rsid w:val="003C7ED8"/>
    <w:rsid w:val="003D0199"/>
    <w:rsid w:val="003D0886"/>
    <w:rsid w:val="003D145E"/>
    <w:rsid w:val="003D20FD"/>
    <w:rsid w:val="003D22D2"/>
    <w:rsid w:val="003D22F8"/>
    <w:rsid w:val="003D2DEC"/>
    <w:rsid w:val="003D3EC5"/>
    <w:rsid w:val="003D40C3"/>
    <w:rsid w:val="003D43AA"/>
    <w:rsid w:val="003D4809"/>
    <w:rsid w:val="003D4947"/>
    <w:rsid w:val="003D4C76"/>
    <w:rsid w:val="003D544C"/>
    <w:rsid w:val="003D59E3"/>
    <w:rsid w:val="003D60ED"/>
    <w:rsid w:val="003D615F"/>
    <w:rsid w:val="003D6201"/>
    <w:rsid w:val="003D6389"/>
    <w:rsid w:val="003D6871"/>
    <w:rsid w:val="003E0132"/>
    <w:rsid w:val="003E0E9D"/>
    <w:rsid w:val="003E1796"/>
    <w:rsid w:val="003E24C9"/>
    <w:rsid w:val="003E318D"/>
    <w:rsid w:val="003E3325"/>
    <w:rsid w:val="003E3DB4"/>
    <w:rsid w:val="003E3DCE"/>
    <w:rsid w:val="003E549E"/>
    <w:rsid w:val="003E671A"/>
    <w:rsid w:val="003E6B30"/>
    <w:rsid w:val="003E6F11"/>
    <w:rsid w:val="003E6FD7"/>
    <w:rsid w:val="003E74F9"/>
    <w:rsid w:val="003F016C"/>
    <w:rsid w:val="003F0235"/>
    <w:rsid w:val="003F0699"/>
    <w:rsid w:val="003F070E"/>
    <w:rsid w:val="003F0FC8"/>
    <w:rsid w:val="003F13A7"/>
    <w:rsid w:val="003F1942"/>
    <w:rsid w:val="003F1D1D"/>
    <w:rsid w:val="003F20D3"/>
    <w:rsid w:val="003F21E1"/>
    <w:rsid w:val="003F225D"/>
    <w:rsid w:val="003F346A"/>
    <w:rsid w:val="003F4EBA"/>
    <w:rsid w:val="003F50D5"/>
    <w:rsid w:val="003F5402"/>
    <w:rsid w:val="003F5661"/>
    <w:rsid w:val="003F5FB5"/>
    <w:rsid w:val="003F6FAF"/>
    <w:rsid w:val="003F724B"/>
    <w:rsid w:val="004000C3"/>
    <w:rsid w:val="004003E2"/>
    <w:rsid w:val="00400FB6"/>
    <w:rsid w:val="00401569"/>
    <w:rsid w:val="0040162F"/>
    <w:rsid w:val="00401EFD"/>
    <w:rsid w:val="0040217F"/>
    <w:rsid w:val="0040223D"/>
    <w:rsid w:val="00402D79"/>
    <w:rsid w:val="00403594"/>
    <w:rsid w:val="00403687"/>
    <w:rsid w:val="00403FD3"/>
    <w:rsid w:val="004041BF"/>
    <w:rsid w:val="00404C6A"/>
    <w:rsid w:val="00405498"/>
    <w:rsid w:val="004054CB"/>
    <w:rsid w:val="00405896"/>
    <w:rsid w:val="0040775E"/>
    <w:rsid w:val="004078B5"/>
    <w:rsid w:val="00407D9F"/>
    <w:rsid w:val="0041028D"/>
    <w:rsid w:val="004104D3"/>
    <w:rsid w:val="00411EC1"/>
    <w:rsid w:val="00412306"/>
    <w:rsid w:val="0041269C"/>
    <w:rsid w:val="00412B9D"/>
    <w:rsid w:val="00413CED"/>
    <w:rsid w:val="0041553D"/>
    <w:rsid w:val="004171FA"/>
    <w:rsid w:val="004176B9"/>
    <w:rsid w:val="00420131"/>
    <w:rsid w:val="004212E3"/>
    <w:rsid w:val="00421412"/>
    <w:rsid w:val="00421560"/>
    <w:rsid w:val="00421607"/>
    <w:rsid w:val="00422328"/>
    <w:rsid w:val="00422FDA"/>
    <w:rsid w:val="0042314D"/>
    <w:rsid w:val="00423206"/>
    <w:rsid w:val="0042339B"/>
    <w:rsid w:val="0042362E"/>
    <w:rsid w:val="004244DA"/>
    <w:rsid w:val="00424A53"/>
    <w:rsid w:val="00424D26"/>
    <w:rsid w:val="00425140"/>
    <w:rsid w:val="00425552"/>
    <w:rsid w:val="00425D23"/>
    <w:rsid w:val="004260A6"/>
    <w:rsid w:val="0042614E"/>
    <w:rsid w:val="0042628E"/>
    <w:rsid w:val="004263F1"/>
    <w:rsid w:val="004267E3"/>
    <w:rsid w:val="00426A35"/>
    <w:rsid w:val="004274DB"/>
    <w:rsid w:val="0042793B"/>
    <w:rsid w:val="004301AD"/>
    <w:rsid w:val="004306E1"/>
    <w:rsid w:val="00430791"/>
    <w:rsid w:val="004308BA"/>
    <w:rsid w:val="00430B0E"/>
    <w:rsid w:val="00430F33"/>
    <w:rsid w:val="00431805"/>
    <w:rsid w:val="0043212A"/>
    <w:rsid w:val="00432426"/>
    <w:rsid w:val="00432CE9"/>
    <w:rsid w:val="004332D8"/>
    <w:rsid w:val="00433AC9"/>
    <w:rsid w:val="00434832"/>
    <w:rsid w:val="00434B57"/>
    <w:rsid w:val="00434E6C"/>
    <w:rsid w:val="004356F7"/>
    <w:rsid w:val="00435AEE"/>
    <w:rsid w:val="004366DC"/>
    <w:rsid w:val="00437553"/>
    <w:rsid w:val="00437760"/>
    <w:rsid w:val="00437798"/>
    <w:rsid w:val="00437FB0"/>
    <w:rsid w:val="004403AF"/>
    <w:rsid w:val="00440881"/>
    <w:rsid w:val="00440BCD"/>
    <w:rsid w:val="00441F73"/>
    <w:rsid w:val="004423DF"/>
    <w:rsid w:val="0044273C"/>
    <w:rsid w:val="00442AAB"/>
    <w:rsid w:val="004433F3"/>
    <w:rsid w:val="00443AF0"/>
    <w:rsid w:val="00443BF5"/>
    <w:rsid w:val="00443F9C"/>
    <w:rsid w:val="004441F0"/>
    <w:rsid w:val="00444405"/>
    <w:rsid w:val="0044497D"/>
    <w:rsid w:val="0044619D"/>
    <w:rsid w:val="00446FF3"/>
    <w:rsid w:val="0044795F"/>
    <w:rsid w:val="00450012"/>
    <w:rsid w:val="00450237"/>
    <w:rsid w:val="00450E63"/>
    <w:rsid w:val="00453967"/>
    <w:rsid w:val="00455DC0"/>
    <w:rsid w:val="0045655D"/>
    <w:rsid w:val="00456C6D"/>
    <w:rsid w:val="00456CAE"/>
    <w:rsid w:val="00456CB7"/>
    <w:rsid w:val="00457656"/>
    <w:rsid w:val="004577CE"/>
    <w:rsid w:val="00457A28"/>
    <w:rsid w:val="00461130"/>
    <w:rsid w:val="00461DFB"/>
    <w:rsid w:val="00462324"/>
    <w:rsid w:val="0046275E"/>
    <w:rsid w:val="00462E4A"/>
    <w:rsid w:val="0046345B"/>
    <w:rsid w:val="00463517"/>
    <w:rsid w:val="00465162"/>
    <w:rsid w:val="00465A72"/>
    <w:rsid w:val="0046683F"/>
    <w:rsid w:val="004668F9"/>
    <w:rsid w:val="00466C97"/>
    <w:rsid w:val="00466DBC"/>
    <w:rsid w:val="00467B8F"/>
    <w:rsid w:val="00467EB5"/>
    <w:rsid w:val="00470B14"/>
    <w:rsid w:val="00470B22"/>
    <w:rsid w:val="00470BE3"/>
    <w:rsid w:val="00471249"/>
    <w:rsid w:val="00471C62"/>
    <w:rsid w:val="00472045"/>
    <w:rsid w:val="00472415"/>
    <w:rsid w:val="00472DD8"/>
    <w:rsid w:val="00473034"/>
    <w:rsid w:val="00473957"/>
    <w:rsid w:val="00473C7C"/>
    <w:rsid w:val="00474385"/>
    <w:rsid w:val="004749CE"/>
    <w:rsid w:val="00474AD1"/>
    <w:rsid w:val="00474C4A"/>
    <w:rsid w:val="00474CC6"/>
    <w:rsid w:val="00474F0B"/>
    <w:rsid w:val="00475644"/>
    <w:rsid w:val="00475A66"/>
    <w:rsid w:val="00475AEF"/>
    <w:rsid w:val="00475F89"/>
    <w:rsid w:val="004772A6"/>
    <w:rsid w:val="00477A6F"/>
    <w:rsid w:val="00477E31"/>
    <w:rsid w:val="00477FDA"/>
    <w:rsid w:val="0048053B"/>
    <w:rsid w:val="00480791"/>
    <w:rsid w:val="00480DE5"/>
    <w:rsid w:val="00480E1C"/>
    <w:rsid w:val="004817EC"/>
    <w:rsid w:val="00482341"/>
    <w:rsid w:val="004826EC"/>
    <w:rsid w:val="00482C05"/>
    <w:rsid w:val="00483C55"/>
    <w:rsid w:val="00484DB2"/>
    <w:rsid w:val="004852D3"/>
    <w:rsid w:val="0048539B"/>
    <w:rsid w:val="00486891"/>
    <w:rsid w:val="00486902"/>
    <w:rsid w:val="00487257"/>
    <w:rsid w:val="004873A7"/>
    <w:rsid w:val="00487479"/>
    <w:rsid w:val="00487D2C"/>
    <w:rsid w:val="004901C6"/>
    <w:rsid w:val="00490450"/>
    <w:rsid w:val="00490D3E"/>
    <w:rsid w:val="004911B7"/>
    <w:rsid w:val="004915C3"/>
    <w:rsid w:val="004917A2"/>
    <w:rsid w:val="00491C81"/>
    <w:rsid w:val="004923E6"/>
    <w:rsid w:val="00493476"/>
    <w:rsid w:val="00493B8F"/>
    <w:rsid w:val="00493C4B"/>
    <w:rsid w:val="004942A1"/>
    <w:rsid w:val="00494894"/>
    <w:rsid w:val="00494E0A"/>
    <w:rsid w:val="004953C2"/>
    <w:rsid w:val="004953D8"/>
    <w:rsid w:val="00496774"/>
    <w:rsid w:val="0049764D"/>
    <w:rsid w:val="00497859"/>
    <w:rsid w:val="00497983"/>
    <w:rsid w:val="00497C97"/>
    <w:rsid w:val="004A0182"/>
    <w:rsid w:val="004A0DF9"/>
    <w:rsid w:val="004A222E"/>
    <w:rsid w:val="004A2621"/>
    <w:rsid w:val="004A2E6C"/>
    <w:rsid w:val="004A3099"/>
    <w:rsid w:val="004A4BA9"/>
    <w:rsid w:val="004A4E86"/>
    <w:rsid w:val="004A5054"/>
    <w:rsid w:val="004A57B0"/>
    <w:rsid w:val="004A5D42"/>
    <w:rsid w:val="004A6107"/>
    <w:rsid w:val="004A6403"/>
    <w:rsid w:val="004A6774"/>
    <w:rsid w:val="004A77A1"/>
    <w:rsid w:val="004A78F3"/>
    <w:rsid w:val="004A7D90"/>
    <w:rsid w:val="004B0294"/>
    <w:rsid w:val="004B06CA"/>
    <w:rsid w:val="004B06DE"/>
    <w:rsid w:val="004B0A0F"/>
    <w:rsid w:val="004B0A61"/>
    <w:rsid w:val="004B0FD0"/>
    <w:rsid w:val="004B125B"/>
    <w:rsid w:val="004B12CB"/>
    <w:rsid w:val="004B1AD6"/>
    <w:rsid w:val="004B1D29"/>
    <w:rsid w:val="004B1E06"/>
    <w:rsid w:val="004B2A53"/>
    <w:rsid w:val="004B2B73"/>
    <w:rsid w:val="004B2C76"/>
    <w:rsid w:val="004B380E"/>
    <w:rsid w:val="004B3F44"/>
    <w:rsid w:val="004B42EB"/>
    <w:rsid w:val="004B4497"/>
    <w:rsid w:val="004B5525"/>
    <w:rsid w:val="004B5583"/>
    <w:rsid w:val="004B5A09"/>
    <w:rsid w:val="004B5D27"/>
    <w:rsid w:val="004B6023"/>
    <w:rsid w:val="004B62DC"/>
    <w:rsid w:val="004B63C3"/>
    <w:rsid w:val="004B6994"/>
    <w:rsid w:val="004B6D0A"/>
    <w:rsid w:val="004B72AE"/>
    <w:rsid w:val="004B7B8E"/>
    <w:rsid w:val="004C00DB"/>
    <w:rsid w:val="004C0BB4"/>
    <w:rsid w:val="004C0D0C"/>
    <w:rsid w:val="004C0F17"/>
    <w:rsid w:val="004C105E"/>
    <w:rsid w:val="004C1171"/>
    <w:rsid w:val="004C14A2"/>
    <w:rsid w:val="004C151D"/>
    <w:rsid w:val="004C15AC"/>
    <w:rsid w:val="004C1813"/>
    <w:rsid w:val="004C1BDB"/>
    <w:rsid w:val="004C2664"/>
    <w:rsid w:val="004C2B16"/>
    <w:rsid w:val="004C2D26"/>
    <w:rsid w:val="004C2FE3"/>
    <w:rsid w:val="004C3268"/>
    <w:rsid w:val="004C3766"/>
    <w:rsid w:val="004C4702"/>
    <w:rsid w:val="004C4C6D"/>
    <w:rsid w:val="004C535B"/>
    <w:rsid w:val="004C5C75"/>
    <w:rsid w:val="004C5CBF"/>
    <w:rsid w:val="004C5D61"/>
    <w:rsid w:val="004C64B2"/>
    <w:rsid w:val="004C65C8"/>
    <w:rsid w:val="004C6CEC"/>
    <w:rsid w:val="004C7412"/>
    <w:rsid w:val="004D00DE"/>
    <w:rsid w:val="004D0870"/>
    <w:rsid w:val="004D0B9F"/>
    <w:rsid w:val="004D19C1"/>
    <w:rsid w:val="004D19FC"/>
    <w:rsid w:val="004D1E57"/>
    <w:rsid w:val="004D2895"/>
    <w:rsid w:val="004D327D"/>
    <w:rsid w:val="004D47A4"/>
    <w:rsid w:val="004D545D"/>
    <w:rsid w:val="004D66EC"/>
    <w:rsid w:val="004D6C14"/>
    <w:rsid w:val="004D6F65"/>
    <w:rsid w:val="004D6FBF"/>
    <w:rsid w:val="004D71DF"/>
    <w:rsid w:val="004D7E7C"/>
    <w:rsid w:val="004E02E1"/>
    <w:rsid w:val="004E0BFC"/>
    <w:rsid w:val="004E0DDF"/>
    <w:rsid w:val="004E1419"/>
    <w:rsid w:val="004E15A1"/>
    <w:rsid w:val="004E16EA"/>
    <w:rsid w:val="004E1928"/>
    <w:rsid w:val="004E1CC0"/>
    <w:rsid w:val="004E21BF"/>
    <w:rsid w:val="004E235D"/>
    <w:rsid w:val="004E2DB0"/>
    <w:rsid w:val="004E2ECA"/>
    <w:rsid w:val="004E3234"/>
    <w:rsid w:val="004E3819"/>
    <w:rsid w:val="004E471E"/>
    <w:rsid w:val="004E474D"/>
    <w:rsid w:val="004E4CC6"/>
    <w:rsid w:val="004E5215"/>
    <w:rsid w:val="004E654A"/>
    <w:rsid w:val="004E693C"/>
    <w:rsid w:val="004E7442"/>
    <w:rsid w:val="004F051C"/>
    <w:rsid w:val="004F0C0C"/>
    <w:rsid w:val="004F126F"/>
    <w:rsid w:val="004F183E"/>
    <w:rsid w:val="004F3408"/>
    <w:rsid w:val="004F37C0"/>
    <w:rsid w:val="004F4656"/>
    <w:rsid w:val="004F5221"/>
    <w:rsid w:val="004F528E"/>
    <w:rsid w:val="004F5409"/>
    <w:rsid w:val="004F5A99"/>
    <w:rsid w:val="004F62B2"/>
    <w:rsid w:val="004F65D9"/>
    <w:rsid w:val="004F65F3"/>
    <w:rsid w:val="004F68C1"/>
    <w:rsid w:val="004F6F26"/>
    <w:rsid w:val="004F7273"/>
    <w:rsid w:val="004F74D4"/>
    <w:rsid w:val="004F78DD"/>
    <w:rsid w:val="004F79A1"/>
    <w:rsid w:val="004F7E29"/>
    <w:rsid w:val="004F7F40"/>
    <w:rsid w:val="00500282"/>
    <w:rsid w:val="0050087B"/>
    <w:rsid w:val="00500B62"/>
    <w:rsid w:val="00500D22"/>
    <w:rsid w:val="0050177C"/>
    <w:rsid w:val="005025EC"/>
    <w:rsid w:val="005029A6"/>
    <w:rsid w:val="00504276"/>
    <w:rsid w:val="005062FD"/>
    <w:rsid w:val="00506454"/>
    <w:rsid w:val="005064F5"/>
    <w:rsid w:val="00506A23"/>
    <w:rsid w:val="00506A72"/>
    <w:rsid w:val="00507955"/>
    <w:rsid w:val="0051068C"/>
    <w:rsid w:val="00510B99"/>
    <w:rsid w:val="00510D1A"/>
    <w:rsid w:val="00511789"/>
    <w:rsid w:val="00511A55"/>
    <w:rsid w:val="00511F1D"/>
    <w:rsid w:val="00512006"/>
    <w:rsid w:val="005122F2"/>
    <w:rsid w:val="00512332"/>
    <w:rsid w:val="00512DE2"/>
    <w:rsid w:val="005133D1"/>
    <w:rsid w:val="00513422"/>
    <w:rsid w:val="005155D9"/>
    <w:rsid w:val="00515743"/>
    <w:rsid w:val="005165C7"/>
    <w:rsid w:val="0051691A"/>
    <w:rsid w:val="005207A3"/>
    <w:rsid w:val="0052083C"/>
    <w:rsid w:val="0052110F"/>
    <w:rsid w:val="00521B1D"/>
    <w:rsid w:val="00521E4B"/>
    <w:rsid w:val="00521FA9"/>
    <w:rsid w:val="0052285A"/>
    <w:rsid w:val="00522FAA"/>
    <w:rsid w:val="0052320B"/>
    <w:rsid w:val="00524012"/>
    <w:rsid w:val="0052427E"/>
    <w:rsid w:val="005243DF"/>
    <w:rsid w:val="00525813"/>
    <w:rsid w:val="00525E09"/>
    <w:rsid w:val="0052610B"/>
    <w:rsid w:val="005301D2"/>
    <w:rsid w:val="0053118F"/>
    <w:rsid w:val="00531C1E"/>
    <w:rsid w:val="005326AD"/>
    <w:rsid w:val="005327CA"/>
    <w:rsid w:val="005327F3"/>
    <w:rsid w:val="00534030"/>
    <w:rsid w:val="00534045"/>
    <w:rsid w:val="005348E8"/>
    <w:rsid w:val="00536726"/>
    <w:rsid w:val="005367B7"/>
    <w:rsid w:val="00536EB6"/>
    <w:rsid w:val="00537919"/>
    <w:rsid w:val="005401F0"/>
    <w:rsid w:val="005401F6"/>
    <w:rsid w:val="00540D65"/>
    <w:rsid w:val="005412DC"/>
    <w:rsid w:val="005425C6"/>
    <w:rsid w:val="00542ED9"/>
    <w:rsid w:val="005437F5"/>
    <w:rsid w:val="005444D2"/>
    <w:rsid w:val="005458AD"/>
    <w:rsid w:val="0054648E"/>
    <w:rsid w:val="00547365"/>
    <w:rsid w:val="005479CD"/>
    <w:rsid w:val="00547B48"/>
    <w:rsid w:val="00547CD8"/>
    <w:rsid w:val="005503DD"/>
    <w:rsid w:val="00550D39"/>
    <w:rsid w:val="00550D98"/>
    <w:rsid w:val="00550F7B"/>
    <w:rsid w:val="005511DA"/>
    <w:rsid w:val="00551493"/>
    <w:rsid w:val="005514FD"/>
    <w:rsid w:val="005515FC"/>
    <w:rsid w:val="00551A94"/>
    <w:rsid w:val="00551BA9"/>
    <w:rsid w:val="005520BD"/>
    <w:rsid w:val="00552192"/>
    <w:rsid w:val="005524F5"/>
    <w:rsid w:val="0055251E"/>
    <w:rsid w:val="0055257D"/>
    <w:rsid w:val="0055399C"/>
    <w:rsid w:val="00553D2E"/>
    <w:rsid w:val="0055588E"/>
    <w:rsid w:val="00555C8D"/>
    <w:rsid w:val="00555D5A"/>
    <w:rsid w:val="005560CE"/>
    <w:rsid w:val="0055619C"/>
    <w:rsid w:val="00556A18"/>
    <w:rsid w:val="005575FC"/>
    <w:rsid w:val="00557CD8"/>
    <w:rsid w:val="00557E67"/>
    <w:rsid w:val="005609C5"/>
    <w:rsid w:val="00560C1C"/>
    <w:rsid w:val="00560F07"/>
    <w:rsid w:val="00561142"/>
    <w:rsid w:val="005615B4"/>
    <w:rsid w:val="00561931"/>
    <w:rsid w:val="0056373E"/>
    <w:rsid w:val="00563F32"/>
    <w:rsid w:val="0056666A"/>
    <w:rsid w:val="00566C4C"/>
    <w:rsid w:val="00570125"/>
    <w:rsid w:val="00570256"/>
    <w:rsid w:val="005706D4"/>
    <w:rsid w:val="00570A37"/>
    <w:rsid w:val="00571710"/>
    <w:rsid w:val="00571A0B"/>
    <w:rsid w:val="00571CF6"/>
    <w:rsid w:val="00571D79"/>
    <w:rsid w:val="00572FD2"/>
    <w:rsid w:val="00573FAB"/>
    <w:rsid w:val="00574956"/>
    <w:rsid w:val="00574B62"/>
    <w:rsid w:val="005750B4"/>
    <w:rsid w:val="0057550D"/>
    <w:rsid w:val="005757CE"/>
    <w:rsid w:val="00575DF8"/>
    <w:rsid w:val="00575E55"/>
    <w:rsid w:val="00575FFC"/>
    <w:rsid w:val="0057617C"/>
    <w:rsid w:val="00576FE4"/>
    <w:rsid w:val="00577AA5"/>
    <w:rsid w:val="00577D61"/>
    <w:rsid w:val="00577DD1"/>
    <w:rsid w:val="00580B64"/>
    <w:rsid w:val="00580B80"/>
    <w:rsid w:val="00580CC9"/>
    <w:rsid w:val="0058194E"/>
    <w:rsid w:val="0058197C"/>
    <w:rsid w:val="00581A02"/>
    <w:rsid w:val="00582EB6"/>
    <w:rsid w:val="0058326E"/>
    <w:rsid w:val="00583700"/>
    <w:rsid w:val="005839B5"/>
    <w:rsid w:val="00583F95"/>
    <w:rsid w:val="00583FD5"/>
    <w:rsid w:val="005844E6"/>
    <w:rsid w:val="005850A2"/>
    <w:rsid w:val="00585F1E"/>
    <w:rsid w:val="00585F77"/>
    <w:rsid w:val="00587DEE"/>
    <w:rsid w:val="00587E46"/>
    <w:rsid w:val="00591105"/>
    <w:rsid w:val="00591491"/>
    <w:rsid w:val="00592740"/>
    <w:rsid w:val="00592B24"/>
    <w:rsid w:val="00592FAD"/>
    <w:rsid w:val="00593B3C"/>
    <w:rsid w:val="005942F4"/>
    <w:rsid w:val="00595C90"/>
    <w:rsid w:val="005963B7"/>
    <w:rsid w:val="00596527"/>
    <w:rsid w:val="0059657F"/>
    <w:rsid w:val="005965AF"/>
    <w:rsid w:val="0059688C"/>
    <w:rsid w:val="00596B22"/>
    <w:rsid w:val="0059728C"/>
    <w:rsid w:val="00597CCA"/>
    <w:rsid w:val="00597F66"/>
    <w:rsid w:val="005A0872"/>
    <w:rsid w:val="005A09D7"/>
    <w:rsid w:val="005A0B9E"/>
    <w:rsid w:val="005A0E8D"/>
    <w:rsid w:val="005A161C"/>
    <w:rsid w:val="005A16C6"/>
    <w:rsid w:val="005A1F6C"/>
    <w:rsid w:val="005A2449"/>
    <w:rsid w:val="005A25FE"/>
    <w:rsid w:val="005A27C9"/>
    <w:rsid w:val="005A2E94"/>
    <w:rsid w:val="005A2FBA"/>
    <w:rsid w:val="005A3161"/>
    <w:rsid w:val="005A3230"/>
    <w:rsid w:val="005A3734"/>
    <w:rsid w:val="005A3765"/>
    <w:rsid w:val="005A3846"/>
    <w:rsid w:val="005A3AA0"/>
    <w:rsid w:val="005A3EEB"/>
    <w:rsid w:val="005A565E"/>
    <w:rsid w:val="005A5C32"/>
    <w:rsid w:val="005A5C35"/>
    <w:rsid w:val="005A5D8B"/>
    <w:rsid w:val="005A6193"/>
    <w:rsid w:val="005A620E"/>
    <w:rsid w:val="005A6DCB"/>
    <w:rsid w:val="005A73BA"/>
    <w:rsid w:val="005A7932"/>
    <w:rsid w:val="005B13BF"/>
    <w:rsid w:val="005B15D3"/>
    <w:rsid w:val="005B1835"/>
    <w:rsid w:val="005B1C24"/>
    <w:rsid w:val="005B25C4"/>
    <w:rsid w:val="005B2C96"/>
    <w:rsid w:val="005B3D1E"/>
    <w:rsid w:val="005B4801"/>
    <w:rsid w:val="005B4BC5"/>
    <w:rsid w:val="005B4D17"/>
    <w:rsid w:val="005B6061"/>
    <w:rsid w:val="005B65BB"/>
    <w:rsid w:val="005B6840"/>
    <w:rsid w:val="005B6CDC"/>
    <w:rsid w:val="005B6D80"/>
    <w:rsid w:val="005B70BD"/>
    <w:rsid w:val="005B7682"/>
    <w:rsid w:val="005B7730"/>
    <w:rsid w:val="005B7800"/>
    <w:rsid w:val="005B7EB7"/>
    <w:rsid w:val="005C0010"/>
    <w:rsid w:val="005C0D51"/>
    <w:rsid w:val="005C0DED"/>
    <w:rsid w:val="005C12C6"/>
    <w:rsid w:val="005C1D5A"/>
    <w:rsid w:val="005C1E68"/>
    <w:rsid w:val="005C20DD"/>
    <w:rsid w:val="005C22E0"/>
    <w:rsid w:val="005C2496"/>
    <w:rsid w:val="005C2FC0"/>
    <w:rsid w:val="005C3E0B"/>
    <w:rsid w:val="005C3E1A"/>
    <w:rsid w:val="005C3FE8"/>
    <w:rsid w:val="005C45BC"/>
    <w:rsid w:val="005C51DE"/>
    <w:rsid w:val="005C5C73"/>
    <w:rsid w:val="005C63B6"/>
    <w:rsid w:val="005C6478"/>
    <w:rsid w:val="005C66C0"/>
    <w:rsid w:val="005C6820"/>
    <w:rsid w:val="005C68A8"/>
    <w:rsid w:val="005C6B6A"/>
    <w:rsid w:val="005C711E"/>
    <w:rsid w:val="005D0153"/>
    <w:rsid w:val="005D0271"/>
    <w:rsid w:val="005D04FA"/>
    <w:rsid w:val="005D0977"/>
    <w:rsid w:val="005D1249"/>
    <w:rsid w:val="005D14F5"/>
    <w:rsid w:val="005D150E"/>
    <w:rsid w:val="005D1841"/>
    <w:rsid w:val="005D2038"/>
    <w:rsid w:val="005D2106"/>
    <w:rsid w:val="005D2242"/>
    <w:rsid w:val="005D25E7"/>
    <w:rsid w:val="005D2E71"/>
    <w:rsid w:val="005D39DB"/>
    <w:rsid w:val="005D3C26"/>
    <w:rsid w:val="005D3C8B"/>
    <w:rsid w:val="005D44C2"/>
    <w:rsid w:val="005D4F67"/>
    <w:rsid w:val="005D4FB9"/>
    <w:rsid w:val="005D516C"/>
    <w:rsid w:val="005D6EC9"/>
    <w:rsid w:val="005D6EF1"/>
    <w:rsid w:val="005D74D7"/>
    <w:rsid w:val="005D79D8"/>
    <w:rsid w:val="005E04EE"/>
    <w:rsid w:val="005E077F"/>
    <w:rsid w:val="005E08C0"/>
    <w:rsid w:val="005E0B75"/>
    <w:rsid w:val="005E2BE4"/>
    <w:rsid w:val="005E388D"/>
    <w:rsid w:val="005E423F"/>
    <w:rsid w:val="005E4398"/>
    <w:rsid w:val="005E4B60"/>
    <w:rsid w:val="005E4BA1"/>
    <w:rsid w:val="005E4BB4"/>
    <w:rsid w:val="005E5643"/>
    <w:rsid w:val="005E6A4A"/>
    <w:rsid w:val="005E7A24"/>
    <w:rsid w:val="005E7A9A"/>
    <w:rsid w:val="005E7C38"/>
    <w:rsid w:val="005F0538"/>
    <w:rsid w:val="005F0ADE"/>
    <w:rsid w:val="005F0B0A"/>
    <w:rsid w:val="005F0C2D"/>
    <w:rsid w:val="005F1288"/>
    <w:rsid w:val="005F146B"/>
    <w:rsid w:val="005F17E2"/>
    <w:rsid w:val="005F1E9B"/>
    <w:rsid w:val="005F2462"/>
    <w:rsid w:val="005F3648"/>
    <w:rsid w:val="005F3844"/>
    <w:rsid w:val="005F390D"/>
    <w:rsid w:val="005F3BFB"/>
    <w:rsid w:val="005F41F9"/>
    <w:rsid w:val="005F527A"/>
    <w:rsid w:val="005F5A48"/>
    <w:rsid w:val="005F5E4B"/>
    <w:rsid w:val="005F5FFE"/>
    <w:rsid w:val="005F630D"/>
    <w:rsid w:val="005F6361"/>
    <w:rsid w:val="005F6926"/>
    <w:rsid w:val="005F6F4E"/>
    <w:rsid w:val="005F76CB"/>
    <w:rsid w:val="005F77DD"/>
    <w:rsid w:val="005F7DF4"/>
    <w:rsid w:val="00600FAD"/>
    <w:rsid w:val="0060106B"/>
    <w:rsid w:val="00601148"/>
    <w:rsid w:val="006012A2"/>
    <w:rsid w:val="00601DFF"/>
    <w:rsid w:val="006024DF"/>
    <w:rsid w:val="00603911"/>
    <w:rsid w:val="006043C3"/>
    <w:rsid w:val="00604515"/>
    <w:rsid w:val="00605148"/>
    <w:rsid w:val="006057E5"/>
    <w:rsid w:val="00605B80"/>
    <w:rsid w:val="00605C97"/>
    <w:rsid w:val="00605DA7"/>
    <w:rsid w:val="006063ED"/>
    <w:rsid w:val="00606691"/>
    <w:rsid w:val="00606931"/>
    <w:rsid w:val="00606B0E"/>
    <w:rsid w:val="0060702D"/>
    <w:rsid w:val="00607343"/>
    <w:rsid w:val="00607528"/>
    <w:rsid w:val="00607582"/>
    <w:rsid w:val="00607BAE"/>
    <w:rsid w:val="00607EF3"/>
    <w:rsid w:val="0061015C"/>
    <w:rsid w:val="0061042F"/>
    <w:rsid w:val="0061054F"/>
    <w:rsid w:val="0061087A"/>
    <w:rsid w:val="00610A28"/>
    <w:rsid w:val="00610B3B"/>
    <w:rsid w:val="00611612"/>
    <w:rsid w:val="0061164C"/>
    <w:rsid w:val="00611A80"/>
    <w:rsid w:val="00611FB7"/>
    <w:rsid w:val="0061299D"/>
    <w:rsid w:val="006129C7"/>
    <w:rsid w:val="006138DB"/>
    <w:rsid w:val="00613E03"/>
    <w:rsid w:val="00614153"/>
    <w:rsid w:val="00614437"/>
    <w:rsid w:val="006149B6"/>
    <w:rsid w:val="00614C21"/>
    <w:rsid w:val="00614F8F"/>
    <w:rsid w:val="00615313"/>
    <w:rsid w:val="006156F3"/>
    <w:rsid w:val="006162CB"/>
    <w:rsid w:val="00616AC3"/>
    <w:rsid w:val="00616BDB"/>
    <w:rsid w:val="006178E1"/>
    <w:rsid w:val="006179CE"/>
    <w:rsid w:val="00617F3F"/>
    <w:rsid w:val="00620428"/>
    <w:rsid w:val="00620802"/>
    <w:rsid w:val="00621D8B"/>
    <w:rsid w:val="0062203E"/>
    <w:rsid w:val="006226DE"/>
    <w:rsid w:val="00622842"/>
    <w:rsid w:val="006229A9"/>
    <w:rsid w:val="00622A53"/>
    <w:rsid w:val="00622A7D"/>
    <w:rsid w:val="006233CE"/>
    <w:rsid w:val="00623497"/>
    <w:rsid w:val="0062349F"/>
    <w:rsid w:val="00624004"/>
    <w:rsid w:val="006241AB"/>
    <w:rsid w:val="006242B6"/>
    <w:rsid w:val="00624472"/>
    <w:rsid w:val="00624988"/>
    <w:rsid w:val="006255B5"/>
    <w:rsid w:val="00626259"/>
    <w:rsid w:val="0062636F"/>
    <w:rsid w:val="006263ED"/>
    <w:rsid w:val="006265B5"/>
    <w:rsid w:val="00626B50"/>
    <w:rsid w:val="00626DA9"/>
    <w:rsid w:val="00627F2E"/>
    <w:rsid w:val="00631BC5"/>
    <w:rsid w:val="00631CBB"/>
    <w:rsid w:val="00632572"/>
    <w:rsid w:val="00632DFE"/>
    <w:rsid w:val="0063347F"/>
    <w:rsid w:val="006334AD"/>
    <w:rsid w:val="0063373D"/>
    <w:rsid w:val="00634ADA"/>
    <w:rsid w:val="0063699F"/>
    <w:rsid w:val="00636EBD"/>
    <w:rsid w:val="006375F7"/>
    <w:rsid w:val="006378E5"/>
    <w:rsid w:val="00637A89"/>
    <w:rsid w:val="006403A2"/>
    <w:rsid w:val="00641381"/>
    <w:rsid w:val="00642A75"/>
    <w:rsid w:val="00642E10"/>
    <w:rsid w:val="0064393C"/>
    <w:rsid w:val="0064397C"/>
    <w:rsid w:val="00644B2E"/>
    <w:rsid w:val="00645F72"/>
    <w:rsid w:val="00646260"/>
    <w:rsid w:val="00646C1D"/>
    <w:rsid w:val="00647C17"/>
    <w:rsid w:val="0065039C"/>
    <w:rsid w:val="0065046B"/>
    <w:rsid w:val="006507B7"/>
    <w:rsid w:val="006509B2"/>
    <w:rsid w:val="00651537"/>
    <w:rsid w:val="00651A24"/>
    <w:rsid w:val="00652043"/>
    <w:rsid w:val="00652161"/>
    <w:rsid w:val="006529E7"/>
    <w:rsid w:val="006530F8"/>
    <w:rsid w:val="00653718"/>
    <w:rsid w:val="00653807"/>
    <w:rsid w:val="00653D9C"/>
    <w:rsid w:val="00654389"/>
    <w:rsid w:val="00654B16"/>
    <w:rsid w:val="006552BF"/>
    <w:rsid w:val="00655CA3"/>
    <w:rsid w:val="00656C89"/>
    <w:rsid w:val="0065761C"/>
    <w:rsid w:val="00657768"/>
    <w:rsid w:val="00660A3C"/>
    <w:rsid w:val="00661250"/>
    <w:rsid w:val="0066269A"/>
    <w:rsid w:val="00662750"/>
    <w:rsid w:val="00663379"/>
    <w:rsid w:val="006638CF"/>
    <w:rsid w:val="00663D68"/>
    <w:rsid w:val="00664132"/>
    <w:rsid w:val="00664E03"/>
    <w:rsid w:val="006652B4"/>
    <w:rsid w:val="0066549B"/>
    <w:rsid w:val="006655B5"/>
    <w:rsid w:val="00665960"/>
    <w:rsid w:val="00665DD8"/>
    <w:rsid w:val="006668C4"/>
    <w:rsid w:val="00666A2A"/>
    <w:rsid w:val="00666BBC"/>
    <w:rsid w:val="00666FCB"/>
    <w:rsid w:val="0066726D"/>
    <w:rsid w:val="006677B0"/>
    <w:rsid w:val="00667819"/>
    <w:rsid w:val="00670918"/>
    <w:rsid w:val="00670D6E"/>
    <w:rsid w:val="006717C2"/>
    <w:rsid w:val="00672C5C"/>
    <w:rsid w:val="006755C7"/>
    <w:rsid w:val="00675662"/>
    <w:rsid w:val="00675EA6"/>
    <w:rsid w:val="00676734"/>
    <w:rsid w:val="00676940"/>
    <w:rsid w:val="00677D31"/>
    <w:rsid w:val="00680D50"/>
    <w:rsid w:val="00680F43"/>
    <w:rsid w:val="00681D7F"/>
    <w:rsid w:val="00682699"/>
    <w:rsid w:val="00682B12"/>
    <w:rsid w:val="006830AC"/>
    <w:rsid w:val="00683562"/>
    <w:rsid w:val="00683C4B"/>
    <w:rsid w:val="00683CB5"/>
    <w:rsid w:val="006847C5"/>
    <w:rsid w:val="006853C5"/>
    <w:rsid w:val="00685422"/>
    <w:rsid w:val="0068551A"/>
    <w:rsid w:val="0068595C"/>
    <w:rsid w:val="00685FF3"/>
    <w:rsid w:val="00686258"/>
    <w:rsid w:val="006863F4"/>
    <w:rsid w:val="00686F2E"/>
    <w:rsid w:val="00686F97"/>
    <w:rsid w:val="006873B9"/>
    <w:rsid w:val="00687D77"/>
    <w:rsid w:val="00690597"/>
    <w:rsid w:val="00691633"/>
    <w:rsid w:val="006916B5"/>
    <w:rsid w:val="00692F69"/>
    <w:rsid w:val="006930DA"/>
    <w:rsid w:val="00693367"/>
    <w:rsid w:val="00693423"/>
    <w:rsid w:val="00693EE5"/>
    <w:rsid w:val="0069448F"/>
    <w:rsid w:val="00694671"/>
    <w:rsid w:val="00694F97"/>
    <w:rsid w:val="00696A9B"/>
    <w:rsid w:val="00696ABC"/>
    <w:rsid w:val="00696CDB"/>
    <w:rsid w:val="00696F94"/>
    <w:rsid w:val="00697540"/>
    <w:rsid w:val="00697630"/>
    <w:rsid w:val="00697639"/>
    <w:rsid w:val="00697CAF"/>
    <w:rsid w:val="00697D3C"/>
    <w:rsid w:val="00697E7E"/>
    <w:rsid w:val="006A0005"/>
    <w:rsid w:val="006A03A9"/>
    <w:rsid w:val="006A0454"/>
    <w:rsid w:val="006A0D53"/>
    <w:rsid w:val="006A166D"/>
    <w:rsid w:val="006A2488"/>
    <w:rsid w:val="006A293C"/>
    <w:rsid w:val="006A2AE1"/>
    <w:rsid w:val="006A2D20"/>
    <w:rsid w:val="006A2DB1"/>
    <w:rsid w:val="006A2DDD"/>
    <w:rsid w:val="006A38D5"/>
    <w:rsid w:val="006A3ABA"/>
    <w:rsid w:val="006A3F04"/>
    <w:rsid w:val="006A463A"/>
    <w:rsid w:val="006A46BB"/>
    <w:rsid w:val="006A50A9"/>
    <w:rsid w:val="006A51AB"/>
    <w:rsid w:val="006A54FA"/>
    <w:rsid w:val="006A5BC6"/>
    <w:rsid w:val="006A5E71"/>
    <w:rsid w:val="006A65F1"/>
    <w:rsid w:val="006A6EE3"/>
    <w:rsid w:val="006A7226"/>
    <w:rsid w:val="006A75ED"/>
    <w:rsid w:val="006A7856"/>
    <w:rsid w:val="006A7897"/>
    <w:rsid w:val="006A7BBB"/>
    <w:rsid w:val="006B0636"/>
    <w:rsid w:val="006B0653"/>
    <w:rsid w:val="006B078D"/>
    <w:rsid w:val="006B08EF"/>
    <w:rsid w:val="006B1084"/>
    <w:rsid w:val="006B1389"/>
    <w:rsid w:val="006B148D"/>
    <w:rsid w:val="006B157C"/>
    <w:rsid w:val="006B1B9A"/>
    <w:rsid w:val="006B1F04"/>
    <w:rsid w:val="006B2159"/>
    <w:rsid w:val="006B22D8"/>
    <w:rsid w:val="006B24CE"/>
    <w:rsid w:val="006B26C2"/>
    <w:rsid w:val="006B2871"/>
    <w:rsid w:val="006B29B8"/>
    <w:rsid w:val="006B33BA"/>
    <w:rsid w:val="006B47DD"/>
    <w:rsid w:val="006B497D"/>
    <w:rsid w:val="006B5CBC"/>
    <w:rsid w:val="006B6241"/>
    <w:rsid w:val="006B6818"/>
    <w:rsid w:val="006B6935"/>
    <w:rsid w:val="006B6B92"/>
    <w:rsid w:val="006B6DCF"/>
    <w:rsid w:val="006B7372"/>
    <w:rsid w:val="006B7940"/>
    <w:rsid w:val="006B7C37"/>
    <w:rsid w:val="006C05ED"/>
    <w:rsid w:val="006C1709"/>
    <w:rsid w:val="006C187D"/>
    <w:rsid w:val="006C296B"/>
    <w:rsid w:val="006C2A82"/>
    <w:rsid w:val="006C3BA3"/>
    <w:rsid w:val="006C3E17"/>
    <w:rsid w:val="006C5320"/>
    <w:rsid w:val="006C5CCA"/>
    <w:rsid w:val="006C5EDB"/>
    <w:rsid w:val="006C5F45"/>
    <w:rsid w:val="006C6084"/>
    <w:rsid w:val="006C6450"/>
    <w:rsid w:val="006C67F1"/>
    <w:rsid w:val="006C6813"/>
    <w:rsid w:val="006C6B61"/>
    <w:rsid w:val="006C7C63"/>
    <w:rsid w:val="006C7E29"/>
    <w:rsid w:val="006D0060"/>
    <w:rsid w:val="006D00CA"/>
    <w:rsid w:val="006D0279"/>
    <w:rsid w:val="006D033F"/>
    <w:rsid w:val="006D0491"/>
    <w:rsid w:val="006D270C"/>
    <w:rsid w:val="006D2BC7"/>
    <w:rsid w:val="006D2C87"/>
    <w:rsid w:val="006D3861"/>
    <w:rsid w:val="006D3B2B"/>
    <w:rsid w:val="006D474D"/>
    <w:rsid w:val="006D4818"/>
    <w:rsid w:val="006D5F41"/>
    <w:rsid w:val="006D5FEE"/>
    <w:rsid w:val="006D623B"/>
    <w:rsid w:val="006D660A"/>
    <w:rsid w:val="006D6A05"/>
    <w:rsid w:val="006D6A0B"/>
    <w:rsid w:val="006D6D0B"/>
    <w:rsid w:val="006E0894"/>
    <w:rsid w:val="006E0C30"/>
    <w:rsid w:val="006E0F2B"/>
    <w:rsid w:val="006E1236"/>
    <w:rsid w:val="006E14EE"/>
    <w:rsid w:val="006E15F6"/>
    <w:rsid w:val="006E1C0A"/>
    <w:rsid w:val="006E21AD"/>
    <w:rsid w:val="006E25B7"/>
    <w:rsid w:val="006E28B9"/>
    <w:rsid w:val="006E30BA"/>
    <w:rsid w:val="006E3323"/>
    <w:rsid w:val="006E3666"/>
    <w:rsid w:val="006E4DF9"/>
    <w:rsid w:val="006E4E28"/>
    <w:rsid w:val="006E4FD2"/>
    <w:rsid w:val="006E52BF"/>
    <w:rsid w:val="006E57E8"/>
    <w:rsid w:val="006E5825"/>
    <w:rsid w:val="006E6044"/>
    <w:rsid w:val="006E688F"/>
    <w:rsid w:val="006E7A8E"/>
    <w:rsid w:val="006F09C4"/>
    <w:rsid w:val="006F0E05"/>
    <w:rsid w:val="006F171B"/>
    <w:rsid w:val="006F1A33"/>
    <w:rsid w:val="006F200A"/>
    <w:rsid w:val="006F20C5"/>
    <w:rsid w:val="006F306F"/>
    <w:rsid w:val="006F320C"/>
    <w:rsid w:val="006F448E"/>
    <w:rsid w:val="006F4AC2"/>
    <w:rsid w:val="006F4D7E"/>
    <w:rsid w:val="006F54B8"/>
    <w:rsid w:val="006F660B"/>
    <w:rsid w:val="006F6758"/>
    <w:rsid w:val="006F6831"/>
    <w:rsid w:val="006F761D"/>
    <w:rsid w:val="006F7B6C"/>
    <w:rsid w:val="0070016D"/>
    <w:rsid w:val="007010BF"/>
    <w:rsid w:val="007012B2"/>
    <w:rsid w:val="0070194B"/>
    <w:rsid w:val="00701C26"/>
    <w:rsid w:val="0070221A"/>
    <w:rsid w:val="007022A3"/>
    <w:rsid w:val="00702C8C"/>
    <w:rsid w:val="00702EA5"/>
    <w:rsid w:val="0070401E"/>
    <w:rsid w:val="00704534"/>
    <w:rsid w:val="00704F34"/>
    <w:rsid w:val="00704FB7"/>
    <w:rsid w:val="00705529"/>
    <w:rsid w:val="00705D2A"/>
    <w:rsid w:val="0070606B"/>
    <w:rsid w:val="00706463"/>
    <w:rsid w:val="00706775"/>
    <w:rsid w:val="00706962"/>
    <w:rsid w:val="007076BA"/>
    <w:rsid w:val="0070791C"/>
    <w:rsid w:val="00707DAF"/>
    <w:rsid w:val="0071005C"/>
    <w:rsid w:val="007100FB"/>
    <w:rsid w:val="007103E8"/>
    <w:rsid w:val="00710BA6"/>
    <w:rsid w:val="007111D2"/>
    <w:rsid w:val="007113E0"/>
    <w:rsid w:val="00711E9E"/>
    <w:rsid w:val="00712689"/>
    <w:rsid w:val="00712764"/>
    <w:rsid w:val="0071282B"/>
    <w:rsid w:val="00712E8B"/>
    <w:rsid w:val="0071316F"/>
    <w:rsid w:val="0071366F"/>
    <w:rsid w:val="00713CE7"/>
    <w:rsid w:val="00714135"/>
    <w:rsid w:val="007147CA"/>
    <w:rsid w:val="00714921"/>
    <w:rsid w:val="007149B7"/>
    <w:rsid w:val="00714B9F"/>
    <w:rsid w:val="00714D0B"/>
    <w:rsid w:val="00714EBE"/>
    <w:rsid w:val="0071516E"/>
    <w:rsid w:val="00716263"/>
    <w:rsid w:val="00717347"/>
    <w:rsid w:val="007174F7"/>
    <w:rsid w:val="0072001F"/>
    <w:rsid w:val="00720BF2"/>
    <w:rsid w:val="00721E46"/>
    <w:rsid w:val="00721E98"/>
    <w:rsid w:val="00722BC0"/>
    <w:rsid w:val="00722C99"/>
    <w:rsid w:val="00723879"/>
    <w:rsid w:val="00723B40"/>
    <w:rsid w:val="00725234"/>
    <w:rsid w:val="00725D78"/>
    <w:rsid w:val="00726195"/>
    <w:rsid w:val="00726692"/>
    <w:rsid w:val="007267A7"/>
    <w:rsid w:val="00727B4C"/>
    <w:rsid w:val="00727BDB"/>
    <w:rsid w:val="0073054F"/>
    <w:rsid w:val="0073097B"/>
    <w:rsid w:val="00730A04"/>
    <w:rsid w:val="007317A0"/>
    <w:rsid w:val="00731E43"/>
    <w:rsid w:val="0073246B"/>
    <w:rsid w:val="00733292"/>
    <w:rsid w:val="00733A5B"/>
    <w:rsid w:val="00734707"/>
    <w:rsid w:val="00734C91"/>
    <w:rsid w:val="007359E5"/>
    <w:rsid w:val="00735AB3"/>
    <w:rsid w:val="00735F7B"/>
    <w:rsid w:val="007361FB"/>
    <w:rsid w:val="00736327"/>
    <w:rsid w:val="0073638F"/>
    <w:rsid w:val="00736863"/>
    <w:rsid w:val="00736BE9"/>
    <w:rsid w:val="007376CF"/>
    <w:rsid w:val="00737F89"/>
    <w:rsid w:val="00740215"/>
    <w:rsid w:val="007404FB"/>
    <w:rsid w:val="007407E1"/>
    <w:rsid w:val="00740900"/>
    <w:rsid w:val="00741849"/>
    <w:rsid w:val="00742537"/>
    <w:rsid w:val="007432EB"/>
    <w:rsid w:val="00743EC1"/>
    <w:rsid w:val="00744025"/>
    <w:rsid w:val="007445E4"/>
    <w:rsid w:val="00744640"/>
    <w:rsid w:val="00744CBC"/>
    <w:rsid w:val="00746480"/>
    <w:rsid w:val="00746740"/>
    <w:rsid w:val="00747281"/>
    <w:rsid w:val="007475DC"/>
    <w:rsid w:val="00750748"/>
    <w:rsid w:val="007507A1"/>
    <w:rsid w:val="00750861"/>
    <w:rsid w:val="00750C78"/>
    <w:rsid w:val="00750E05"/>
    <w:rsid w:val="00750E29"/>
    <w:rsid w:val="007516CD"/>
    <w:rsid w:val="007516E3"/>
    <w:rsid w:val="0075219E"/>
    <w:rsid w:val="00752AFC"/>
    <w:rsid w:val="00752B61"/>
    <w:rsid w:val="007534C3"/>
    <w:rsid w:val="00753A4E"/>
    <w:rsid w:val="00753A51"/>
    <w:rsid w:val="007541A9"/>
    <w:rsid w:val="00754708"/>
    <w:rsid w:val="00754AA0"/>
    <w:rsid w:val="00754C25"/>
    <w:rsid w:val="0075548A"/>
    <w:rsid w:val="00755758"/>
    <w:rsid w:val="00755E24"/>
    <w:rsid w:val="00756967"/>
    <w:rsid w:val="00756F0C"/>
    <w:rsid w:val="00760079"/>
    <w:rsid w:val="0076038E"/>
    <w:rsid w:val="00760A50"/>
    <w:rsid w:val="00760CE0"/>
    <w:rsid w:val="0076190A"/>
    <w:rsid w:val="007620E8"/>
    <w:rsid w:val="00763962"/>
    <w:rsid w:val="007639F8"/>
    <w:rsid w:val="00763A3E"/>
    <w:rsid w:val="00763E28"/>
    <w:rsid w:val="0076432B"/>
    <w:rsid w:val="0076514C"/>
    <w:rsid w:val="00766675"/>
    <w:rsid w:val="007668DA"/>
    <w:rsid w:val="00766BE6"/>
    <w:rsid w:val="00766CA0"/>
    <w:rsid w:val="00766EC5"/>
    <w:rsid w:val="007679F5"/>
    <w:rsid w:val="00767CC7"/>
    <w:rsid w:val="00770AFF"/>
    <w:rsid w:val="007712B7"/>
    <w:rsid w:val="00771F5D"/>
    <w:rsid w:val="00772B57"/>
    <w:rsid w:val="00773262"/>
    <w:rsid w:val="007738DE"/>
    <w:rsid w:val="00773FAD"/>
    <w:rsid w:val="0077488A"/>
    <w:rsid w:val="0077502D"/>
    <w:rsid w:val="00776881"/>
    <w:rsid w:val="00777045"/>
    <w:rsid w:val="00777FFB"/>
    <w:rsid w:val="0078097B"/>
    <w:rsid w:val="00780D68"/>
    <w:rsid w:val="0078160E"/>
    <w:rsid w:val="00782B57"/>
    <w:rsid w:val="00782C6C"/>
    <w:rsid w:val="00783795"/>
    <w:rsid w:val="00783AFD"/>
    <w:rsid w:val="00783FF1"/>
    <w:rsid w:val="0078404F"/>
    <w:rsid w:val="00784756"/>
    <w:rsid w:val="00784F85"/>
    <w:rsid w:val="00785479"/>
    <w:rsid w:val="00785597"/>
    <w:rsid w:val="00785CF4"/>
    <w:rsid w:val="007861B7"/>
    <w:rsid w:val="00786456"/>
    <w:rsid w:val="007869FA"/>
    <w:rsid w:val="00786BDC"/>
    <w:rsid w:val="00787086"/>
    <w:rsid w:val="00787BF7"/>
    <w:rsid w:val="00787F30"/>
    <w:rsid w:val="00790101"/>
    <w:rsid w:val="00790546"/>
    <w:rsid w:val="00790650"/>
    <w:rsid w:val="00790E97"/>
    <w:rsid w:val="00791267"/>
    <w:rsid w:val="00791624"/>
    <w:rsid w:val="00791814"/>
    <w:rsid w:val="00791941"/>
    <w:rsid w:val="00791B0A"/>
    <w:rsid w:val="00791BA2"/>
    <w:rsid w:val="00791C56"/>
    <w:rsid w:val="00791D6C"/>
    <w:rsid w:val="007922A0"/>
    <w:rsid w:val="00792369"/>
    <w:rsid w:val="0079297D"/>
    <w:rsid w:val="0079302A"/>
    <w:rsid w:val="0079311D"/>
    <w:rsid w:val="00793C33"/>
    <w:rsid w:val="00793CE9"/>
    <w:rsid w:val="00793D34"/>
    <w:rsid w:val="0079481A"/>
    <w:rsid w:val="00794E59"/>
    <w:rsid w:val="00794FC1"/>
    <w:rsid w:val="007950A5"/>
    <w:rsid w:val="0079595C"/>
    <w:rsid w:val="00796965"/>
    <w:rsid w:val="007A01FA"/>
    <w:rsid w:val="007A023D"/>
    <w:rsid w:val="007A032E"/>
    <w:rsid w:val="007A0539"/>
    <w:rsid w:val="007A0EFF"/>
    <w:rsid w:val="007A121F"/>
    <w:rsid w:val="007A167E"/>
    <w:rsid w:val="007A22BE"/>
    <w:rsid w:val="007A2C0F"/>
    <w:rsid w:val="007A38D5"/>
    <w:rsid w:val="007A3DB3"/>
    <w:rsid w:val="007A3E65"/>
    <w:rsid w:val="007A3F77"/>
    <w:rsid w:val="007A4202"/>
    <w:rsid w:val="007A4B12"/>
    <w:rsid w:val="007A4D9D"/>
    <w:rsid w:val="007A4E96"/>
    <w:rsid w:val="007A52F3"/>
    <w:rsid w:val="007A5B25"/>
    <w:rsid w:val="007A5B2F"/>
    <w:rsid w:val="007A61C5"/>
    <w:rsid w:val="007A62C9"/>
    <w:rsid w:val="007A65C5"/>
    <w:rsid w:val="007A7970"/>
    <w:rsid w:val="007B18CD"/>
    <w:rsid w:val="007B1D3E"/>
    <w:rsid w:val="007B4931"/>
    <w:rsid w:val="007B4FB2"/>
    <w:rsid w:val="007B5228"/>
    <w:rsid w:val="007B5292"/>
    <w:rsid w:val="007B54C1"/>
    <w:rsid w:val="007B6471"/>
    <w:rsid w:val="007B667B"/>
    <w:rsid w:val="007B76FF"/>
    <w:rsid w:val="007B77EF"/>
    <w:rsid w:val="007B7FE7"/>
    <w:rsid w:val="007C175D"/>
    <w:rsid w:val="007C1E7C"/>
    <w:rsid w:val="007C313B"/>
    <w:rsid w:val="007C3302"/>
    <w:rsid w:val="007C3B91"/>
    <w:rsid w:val="007C3E6F"/>
    <w:rsid w:val="007C48B2"/>
    <w:rsid w:val="007C4BD0"/>
    <w:rsid w:val="007C5130"/>
    <w:rsid w:val="007C523E"/>
    <w:rsid w:val="007C64DF"/>
    <w:rsid w:val="007C64E0"/>
    <w:rsid w:val="007C69D7"/>
    <w:rsid w:val="007C6A1F"/>
    <w:rsid w:val="007C6CE7"/>
    <w:rsid w:val="007C6EBE"/>
    <w:rsid w:val="007C7A1D"/>
    <w:rsid w:val="007C7F6D"/>
    <w:rsid w:val="007D0168"/>
    <w:rsid w:val="007D1533"/>
    <w:rsid w:val="007D1738"/>
    <w:rsid w:val="007D1B43"/>
    <w:rsid w:val="007D1E73"/>
    <w:rsid w:val="007D2CB5"/>
    <w:rsid w:val="007D2D76"/>
    <w:rsid w:val="007D2FFC"/>
    <w:rsid w:val="007D3F03"/>
    <w:rsid w:val="007D443B"/>
    <w:rsid w:val="007D5651"/>
    <w:rsid w:val="007D57A9"/>
    <w:rsid w:val="007D66C0"/>
    <w:rsid w:val="007D692B"/>
    <w:rsid w:val="007D69E6"/>
    <w:rsid w:val="007D6C82"/>
    <w:rsid w:val="007D7DAE"/>
    <w:rsid w:val="007E01FC"/>
    <w:rsid w:val="007E12A7"/>
    <w:rsid w:val="007E194C"/>
    <w:rsid w:val="007E1C28"/>
    <w:rsid w:val="007E20DF"/>
    <w:rsid w:val="007E2920"/>
    <w:rsid w:val="007E34BB"/>
    <w:rsid w:val="007E37F1"/>
    <w:rsid w:val="007E4431"/>
    <w:rsid w:val="007E4498"/>
    <w:rsid w:val="007E44DA"/>
    <w:rsid w:val="007E4D93"/>
    <w:rsid w:val="007E5004"/>
    <w:rsid w:val="007E5701"/>
    <w:rsid w:val="007E5CBE"/>
    <w:rsid w:val="007E62AE"/>
    <w:rsid w:val="007E686E"/>
    <w:rsid w:val="007E6CF8"/>
    <w:rsid w:val="007E726C"/>
    <w:rsid w:val="007E74C9"/>
    <w:rsid w:val="007E7561"/>
    <w:rsid w:val="007E76AC"/>
    <w:rsid w:val="007F043F"/>
    <w:rsid w:val="007F0969"/>
    <w:rsid w:val="007F155F"/>
    <w:rsid w:val="007F1647"/>
    <w:rsid w:val="007F197C"/>
    <w:rsid w:val="007F1E1D"/>
    <w:rsid w:val="007F36E8"/>
    <w:rsid w:val="007F3BDB"/>
    <w:rsid w:val="007F3D8F"/>
    <w:rsid w:val="007F406C"/>
    <w:rsid w:val="007F46BA"/>
    <w:rsid w:val="007F4E2C"/>
    <w:rsid w:val="007F5738"/>
    <w:rsid w:val="007F58DA"/>
    <w:rsid w:val="007F5E75"/>
    <w:rsid w:val="007F61BE"/>
    <w:rsid w:val="007F63BD"/>
    <w:rsid w:val="007F6A27"/>
    <w:rsid w:val="007F6A2A"/>
    <w:rsid w:val="007F6D42"/>
    <w:rsid w:val="007F7F0E"/>
    <w:rsid w:val="0080005A"/>
    <w:rsid w:val="00800BB0"/>
    <w:rsid w:val="00800BD7"/>
    <w:rsid w:val="00800D44"/>
    <w:rsid w:val="0080122B"/>
    <w:rsid w:val="008012AF"/>
    <w:rsid w:val="0080179E"/>
    <w:rsid w:val="00802653"/>
    <w:rsid w:val="00802CB8"/>
    <w:rsid w:val="00802F6B"/>
    <w:rsid w:val="008052A9"/>
    <w:rsid w:val="00805318"/>
    <w:rsid w:val="00805400"/>
    <w:rsid w:val="0080584B"/>
    <w:rsid w:val="00805C80"/>
    <w:rsid w:val="00805DF7"/>
    <w:rsid w:val="00806AE5"/>
    <w:rsid w:val="0080754E"/>
    <w:rsid w:val="0080759E"/>
    <w:rsid w:val="00807BCF"/>
    <w:rsid w:val="008101F7"/>
    <w:rsid w:val="008108C7"/>
    <w:rsid w:val="00810A27"/>
    <w:rsid w:val="00810A3F"/>
    <w:rsid w:val="00810BBF"/>
    <w:rsid w:val="00810DDE"/>
    <w:rsid w:val="00811375"/>
    <w:rsid w:val="008113B6"/>
    <w:rsid w:val="008115AA"/>
    <w:rsid w:val="00811965"/>
    <w:rsid w:val="00811B5E"/>
    <w:rsid w:val="008126D7"/>
    <w:rsid w:val="00812BC3"/>
    <w:rsid w:val="00812F84"/>
    <w:rsid w:val="00813257"/>
    <w:rsid w:val="00813CD0"/>
    <w:rsid w:val="00814AAF"/>
    <w:rsid w:val="00815064"/>
    <w:rsid w:val="008154F5"/>
    <w:rsid w:val="00815E06"/>
    <w:rsid w:val="00815E22"/>
    <w:rsid w:val="00817AED"/>
    <w:rsid w:val="00817EFB"/>
    <w:rsid w:val="00820103"/>
    <w:rsid w:val="00820716"/>
    <w:rsid w:val="0082136F"/>
    <w:rsid w:val="00821553"/>
    <w:rsid w:val="00821B11"/>
    <w:rsid w:val="00822078"/>
    <w:rsid w:val="008220A4"/>
    <w:rsid w:val="008223AC"/>
    <w:rsid w:val="00822575"/>
    <w:rsid w:val="00822DA0"/>
    <w:rsid w:val="0082334F"/>
    <w:rsid w:val="00823899"/>
    <w:rsid w:val="00823AC7"/>
    <w:rsid w:val="00823C27"/>
    <w:rsid w:val="00823CA7"/>
    <w:rsid w:val="00823E6D"/>
    <w:rsid w:val="008241DE"/>
    <w:rsid w:val="00824700"/>
    <w:rsid w:val="00824960"/>
    <w:rsid w:val="00825852"/>
    <w:rsid w:val="00825996"/>
    <w:rsid w:val="00825CCF"/>
    <w:rsid w:val="008262EA"/>
    <w:rsid w:val="0082636E"/>
    <w:rsid w:val="008264E4"/>
    <w:rsid w:val="00826714"/>
    <w:rsid w:val="00826751"/>
    <w:rsid w:val="00826F31"/>
    <w:rsid w:val="008270E8"/>
    <w:rsid w:val="008275AF"/>
    <w:rsid w:val="008276F5"/>
    <w:rsid w:val="00830417"/>
    <w:rsid w:val="00830700"/>
    <w:rsid w:val="008315F1"/>
    <w:rsid w:val="00831695"/>
    <w:rsid w:val="00831EA5"/>
    <w:rsid w:val="00832290"/>
    <w:rsid w:val="00832DB5"/>
    <w:rsid w:val="008335E1"/>
    <w:rsid w:val="0083406A"/>
    <w:rsid w:val="00834FEA"/>
    <w:rsid w:val="00835650"/>
    <w:rsid w:val="00835F02"/>
    <w:rsid w:val="0083655C"/>
    <w:rsid w:val="00836955"/>
    <w:rsid w:val="00836E4D"/>
    <w:rsid w:val="008376B2"/>
    <w:rsid w:val="008376C4"/>
    <w:rsid w:val="00837793"/>
    <w:rsid w:val="00837DAC"/>
    <w:rsid w:val="008409C6"/>
    <w:rsid w:val="0084180C"/>
    <w:rsid w:val="00841880"/>
    <w:rsid w:val="00841A1B"/>
    <w:rsid w:val="00841D26"/>
    <w:rsid w:val="00841EF2"/>
    <w:rsid w:val="00842668"/>
    <w:rsid w:val="008426EB"/>
    <w:rsid w:val="00842C47"/>
    <w:rsid w:val="00843499"/>
    <w:rsid w:val="008438C7"/>
    <w:rsid w:val="00843945"/>
    <w:rsid w:val="00843D91"/>
    <w:rsid w:val="0084521D"/>
    <w:rsid w:val="0084536D"/>
    <w:rsid w:val="00845463"/>
    <w:rsid w:val="00845CCB"/>
    <w:rsid w:val="00846584"/>
    <w:rsid w:val="0084738D"/>
    <w:rsid w:val="008473CD"/>
    <w:rsid w:val="00847464"/>
    <w:rsid w:val="00850905"/>
    <w:rsid w:val="00851B36"/>
    <w:rsid w:val="0085202B"/>
    <w:rsid w:val="008523F6"/>
    <w:rsid w:val="00852737"/>
    <w:rsid w:val="00852E0B"/>
    <w:rsid w:val="00852EB2"/>
    <w:rsid w:val="00852F38"/>
    <w:rsid w:val="00853284"/>
    <w:rsid w:val="00853F9C"/>
    <w:rsid w:val="00854B95"/>
    <w:rsid w:val="00856A07"/>
    <w:rsid w:val="00857129"/>
    <w:rsid w:val="008575C3"/>
    <w:rsid w:val="00857E35"/>
    <w:rsid w:val="00857F10"/>
    <w:rsid w:val="008608A2"/>
    <w:rsid w:val="008610C7"/>
    <w:rsid w:val="00861306"/>
    <w:rsid w:val="008615B6"/>
    <w:rsid w:val="00861B2E"/>
    <w:rsid w:val="00862014"/>
    <w:rsid w:val="0086217E"/>
    <w:rsid w:val="00862263"/>
    <w:rsid w:val="008628C6"/>
    <w:rsid w:val="00862EB9"/>
    <w:rsid w:val="00863564"/>
    <w:rsid w:val="008636EC"/>
    <w:rsid w:val="008637A0"/>
    <w:rsid w:val="00864DC7"/>
    <w:rsid w:val="0086537F"/>
    <w:rsid w:val="00865463"/>
    <w:rsid w:val="00865689"/>
    <w:rsid w:val="00865E5F"/>
    <w:rsid w:val="0086653E"/>
    <w:rsid w:val="0086758B"/>
    <w:rsid w:val="00867D4A"/>
    <w:rsid w:val="0087016C"/>
    <w:rsid w:val="008705C4"/>
    <w:rsid w:val="008706FE"/>
    <w:rsid w:val="0087080E"/>
    <w:rsid w:val="00870897"/>
    <w:rsid w:val="00870A57"/>
    <w:rsid w:val="0087109A"/>
    <w:rsid w:val="00871407"/>
    <w:rsid w:val="00871AD6"/>
    <w:rsid w:val="008724D5"/>
    <w:rsid w:val="00872B1D"/>
    <w:rsid w:val="00872C95"/>
    <w:rsid w:val="008733D6"/>
    <w:rsid w:val="00873518"/>
    <w:rsid w:val="00873B46"/>
    <w:rsid w:val="00874B05"/>
    <w:rsid w:val="00874DFF"/>
    <w:rsid w:val="008754FA"/>
    <w:rsid w:val="0087586D"/>
    <w:rsid w:val="00875E35"/>
    <w:rsid w:val="0087624D"/>
    <w:rsid w:val="00876457"/>
    <w:rsid w:val="0087657F"/>
    <w:rsid w:val="00876867"/>
    <w:rsid w:val="008771C4"/>
    <w:rsid w:val="0087736A"/>
    <w:rsid w:val="0087739F"/>
    <w:rsid w:val="00877CC3"/>
    <w:rsid w:val="00877D3A"/>
    <w:rsid w:val="0088061D"/>
    <w:rsid w:val="008806DB"/>
    <w:rsid w:val="00880758"/>
    <w:rsid w:val="00881637"/>
    <w:rsid w:val="008819F0"/>
    <w:rsid w:val="00881D3D"/>
    <w:rsid w:val="008824E8"/>
    <w:rsid w:val="00882809"/>
    <w:rsid w:val="008830AF"/>
    <w:rsid w:val="00883B17"/>
    <w:rsid w:val="00884C48"/>
    <w:rsid w:val="008852A2"/>
    <w:rsid w:val="008852AF"/>
    <w:rsid w:val="00885A34"/>
    <w:rsid w:val="008865BE"/>
    <w:rsid w:val="008865C3"/>
    <w:rsid w:val="00886D2A"/>
    <w:rsid w:val="00887372"/>
    <w:rsid w:val="008873CB"/>
    <w:rsid w:val="008877E4"/>
    <w:rsid w:val="00887F55"/>
    <w:rsid w:val="00887FF8"/>
    <w:rsid w:val="00890180"/>
    <w:rsid w:val="0089026D"/>
    <w:rsid w:val="00891A58"/>
    <w:rsid w:val="00892577"/>
    <w:rsid w:val="00892AD8"/>
    <w:rsid w:val="00892B48"/>
    <w:rsid w:val="0089364A"/>
    <w:rsid w:val="00893954"/>
    <w:rsid w:val="008941F0"/>
    <w:rsid w:val="008944A1"/>
    <w:rsid w:val="0089462A"/>
    <w:rsid w:val="00894D8A"/>
    <w:rsid w:val="00894FE7"/>
    <w:rsid w:val="008957BB"/>
    <w:rsid w:val="00895D5F"/>
    <w:rsid w:val="008960DA"/>
    <w:rsid w:val="008A0756"/>
    <w:rsid w:val="008A11B3"/>
    <w:rsid w:val="008A1CD9"/>
    <w:rsid w:val="008A1D08"/>
    <w:rsid w:val="008A2008"/>
    <w:rsid w:val="008A22F9"/>
    <w:rsid w:val="008A2CF9"/>
    <w:rsid w:val="008A2DC0"/>
    <w:rsid w:val="008A2DCC"/>
    <w:rsid w:val="008A3BE3"/>
    <w:rsid w:val="008A3D0E"/>
    <w:rsid w:val="008A3D2F"/>
    <w:rsid w:val="008A4B4C"/>
    <w:rsid w:val="008A50D9"/>
    <w:rsid w:val="008A61FE"/>
    <w:rsid w:val="008A65B5"/>
    <w:rsid w:val="008A666D"/>
    <w:rsid w:val="008A6833"/>
    <w:rsid w:val="008A6875"/>
    <w:rsid w:val="008A71CD"/>
    <w:rsid w:val="008A723B"/>
    <w:rsid w:val="008A7620"/>
    <w:rsid w:val="008A7774"/>
    <w:rsid w:val="008B0622"/>
    <w:rsid w:val="008B0714"/>
    <w:rsid w:val="008B072B"/>
    <w:rsid w:val="008B181A"/>
    <w:rsid w:val="008B21BA"/>
    <w:rsid w:val="008B3289"/>
    <w:rsid w:val="008B427C"/>
    <w:rsid w:val="008B4E4A"/>
    <w:rsid w:val="008B5FC0"/>
    <w:rsid w:val="008B61F7"/>
    <w:rsid w:val="008B63BA"/>
    <w:rsid w:val="008B648C"/>
    <w:rsid w:val="008B6538"/>
    <w:rsid w:val="008B65A5"/>
    <w:rsid w:val="008B6A68"/>
    <w:rsid w:val="008B6DAB"/>
    <w:rsid w:val="008B701E"/>
    <w:rsid w:val="008C0742"/>
    <w:rsid w:val="008C075D"/>
    <w:rsid w:val="008C0CBF"/>
    <w:rsid w:val="008C10EB"/>
    <w:rsid w:val="008C1477"/>
    <w:rsid w:val="008C1507"/>
    <w:rsid w:val="008C16D9"/>
    <w:rsid w:val="008C2683"/>
    <w:rsid w:val="008C270B"/>
    <w:rsid w:val="008C2849"/>
    <w:rsid w:val="008C3679"/>
    <w:rsid w:val="008C37E2"/>
    <w:rsid w:val="008C395A"/>
    <w:rsid w:val="008C3A56"/>
    <w:rsid w:val="008C3B63"/>
    <w:rsid w:val="008C3C51"/>
    <w:rsid w:val="008C4051"/>
    <w:rsid w:val="008C4958"/>
    <w:rsid w:val="008C4FD6"/>
    <w:rsid w:val="008C577A"/>
    <w:rsid w:val="008C5B27"/>
    <w:rsid w:val="008C5C8B"/>
    <w:rsid w:val="008C6A10"/>
    <w:rsid w:val="008C6C2B"/>
    <w:rsid w:val="008C76A9"/>
    <w:rsid w:val="008C76FF"/>
    <w:rsid w:val="008C79EE"/>
    <w:rsid w:val="008C7B69"/>
    <w:rsid w:val="008D0211"/>
    <w:rsid w:val="008D09B0"/>
    <w:rsid w:val="008D0D75"/>
    <w:rsid w:val="008D14DC"/>
    <w:rsid w:val="008D1EF6"/>
    <w:rsid w:val="008D24C7"/>
    <w:rsid w:val="008D2520"/>
    <w:rsid w:val="008D2698"/>
    <w:rsid w:val="008D3347"/>
    <w:rsid w:val="008D3634"/>
    <w:rsid w:val="008D457E"/>
    <w:rsid w:val="008D47BA"/>
    <w:rsid w:val="008D50D9"/>
    <w:rsid w:val="008D529C"/>
    <w:rsid w:val="008D5D5C"/>
    <w:rsid w:val="008D5FD4"/>
    <w:rsid w:val="008D64A8"/>
    <w:rsid w:val="008D67CB"/>
    <w:rsid w:val="008D6898"/>
    <w:rsid w:val="008D6AAB"/>
    <w:rsid w:val="008D6B11"/>
    <w:rsid w:val="008D6D3B"/>
    <w:rsid w:val="008D6F27"/>
    <w:rsid w:val="008D72B0"/>
    <w:rsid w:val="008D741D"/>
    <w:rsid w:val="008D75CB"/>
    <w:rsid w:val="008D7A4C"/>
    <w:rsid w:val="008D7CB2"/>
    <w:rsid w:val="008E03A9"/>
    <w:rsid w:val="008E0901"/>
    <w:rsid w:val="008E1909"/>
    <w:rsid w:val="008E287E"/>
    <w:rsid w:val="008E2C7F"/>
    <w:rsid w:val="008E2DAD"/>
    <w:rsid w:val="008E3171"/>
    <w:rsid w:val="008E3B69"/>
    <w:rsid w:val="008E3E42"/>
    <w:rsid w:val="008E3EF3"/>
    <w:rsid w:val="008E3FBE"/>
    <w:rsid w:val="008E421B"/>
    <w:rsid w:val="008E48D2"/>
    <w:rsid w:val="008E57AF"/>
    <w:rsid w:val="008E5844"/>
    <w:rsid w:val="008E5BE8"/>
    <w:rsid w:val="008E6192"/>
    <w:rsid w:val="008E66AC"/>
    <w:rsid w:val="008E6DCE"/>
    <w:rsid w:val="008E7E04"/>
    <w:rsid w:val="008F04D2"/>
    <w:rsid w:val="008F0CE0"/>
    <w:rsid w:val="008F10FA"/>
    <w:rsid w:val="008F16F7"/>
    <w:rsid w:val="008F172D"/>
    <w:rsid w:val="008F1A72"/>
    <w:rsid w:val="008F1AFC"/>
    <w:rsid w:val="008F247B"/>
    <w:rsid w:val="008F2B84"/>
    <w:rsid w:val="008F31A1"/>
    <w:rsid w:val="008F31FF"/>
    <w:rsid w:val="008F32E0"/>
    <w:rsid w:val="008F350B"/>
    <w:rsid w:val="008F38BF"/>
    <w:rsid w:val="008F3AA2"/>
    <w:rsid w:val="008F3F06"/>
    <w:rsid w:val="008F3F58"/>
    <w:rsid w:val="008F40F7"/>
    <w:rsid w:val="008F4B93"/>
    <w:rsid w:val="008F521D"/>
    <w:rsid w:val="008F5463"/>
    <w:rsid w:val="008F567A"/>
    <w:rsid w:val="008F5695"/>
    <w:rsid w:val="008F5766"/>
    <w:rsid w:val="008F5D49"/>
    <w:rsid w:val="008F642F"/>
    <w:rsid w:val="008F66CC"/>
    <w:rsid w:val="008F6A62"/>
    <w:rsid w:val="008F6E34"/>
    <w:rsid w:val="008F75F4"/>
    <w:rsid w:val="009006B0"/>
    <w:rsid w:val="00900A8B"/>
    <w:rsid w:val="00901723"/>
    <w:rsid w:val="00901B63"/>
    <w:rsid w:val="00902CF4"/>
    <w:rsid w:val="009032A5"/>
    <w:rsid w:val="00903413"/>
    <w:rsid w:val="009046D3"/>
    <w:rsid w:val="009049F0"/>
    <w:rsid w:val="00904A23"/>
    <w:rsid w:val="00904D92"/>
    <w:rsid w:val="00905A99"/>
    <w:rsid w:val="00905D86"/>
    <w:rsid w:val="009060CC"/>
    <w:rsid w:val="00907197"/>
    <w:rsid w:val="00907CA6"/>
    <w:rsid w:val="00910094"/>
    <w:rsid w:val="00910BF4"/>
    <w:rsid w:val="009112C9"/>
    <w:rsid w:val="009119C9"/>
    <w:rsid w:val="00912404"/>
    <w:rsid w:val="00912BAE"/>
    <w:rsid w:val="00912BEB"/>
    <w:rsid w:val="00912C88"/>
    <w:rsid w:val="00913215"/>
    <w:rsid w:val="009133EC"/>
    <w:rsid w:val="009137F4"/>
    <w:rsid w:val="00913C94"/>
    <w:rsid w:val="00913DFE"/>
    <w:rsid w:val="009141CE"/>
    <w:rsid w:val="009149B9"/>
    <w:rsid w:val="00914AF3"/>
    <w:rsid w:val="00915881"/>
    <w:rsid w:val="00915899"/>
    <w:rsid w:val="00916196"/>
    <w:rsid w:val="00916263"/>
    <w:rsid w:val="00917570"/>
    <w:rsid w:val="00920E0B"/>
    <w:rsid w:val="00920F88"/>
    <w:rsid w:val="009212DD"/>
    <w:rsid w:val="0092177C"/>
    <w:rsid w:val="00922299"/>
    <w:rsid w:val="00922A15"/>
    <w:rsid w:val="00922CA4"/>
    <w:rsid w:val="009230C9"/>
    <w:rsid w:val="00924106"/>
    <w:rsid w:val="0092441F"/>
    <w:rsid w:val="00924A55"/>
    <w:rsid w:val="0092510C"/>
    <w:rsid w:val="00925CEC"/>
    <w:rsid w:val="00925E5C"/>
    <w:rsid w:val="009260A1"/>
    <w:rsid w:val="00926150"/>
    <w:rsid w:val="009266A9"/>
    <w:rsid w:val="0092687C"/>
    <w:rsid w:val="00926B00"/>
    <w:rsid w:val="0092750E"/>
    <w:rsid w:val="00927AF4"/>
    <w:rsid w:val="00927C9A"/>
    <w:rsid w:val="009315F8"/>
    <w:rsid w:val="00931722"/>
    <w:rsid w:val="00931CDE"/>
    <w:rsid w:val="0093231C"/>
    <w:rsid w:val="0093359A"/>
    <w:rsid w:val="00933ED2"/>
    <w:rsid w:val="00933FCE"/>
    <w:rsid w:val="00934A14"/>
    <w:rsid w:val="00935597"/>
    <w:rsid w:val="0093570E"/>
    <w:rsid w:val="009357A1"/>
    <w:rsid w:val="00935E4D"/>
    <w:rsid w:val="00936011"/>
    <w:rsid w:val="009361EF"/>
    <w:rsid w:val="009363D8"/>
    <w:rsid w:val="00936940"/>
    <w:rsid w:val="00936D40"/>
    <w:rsid w:val="00936D60"/>
    <w:rsid w:val="00937287"/>
    <w:rsid w:val="00937864"/>
    <w:rsid w:val="0094004A"/>
    <w:rsid w:val="0094171E"/>
    <w:rsid w:val="0094183D"/>
    <w:rsid w:val="0094193C"/>
    <w:rsid w:val="00941B4E"/>
    <w:rsid w:val="00941D04"/>
    <w:rsid w:val="00942949"/>
    <w:rsid w:val="00942E09"/>
    <w:rsid w:val="00943320"/>
    <w:rsid w:val="00943745"/>
    <w:rsid w:val="00943ECB"/>
    <w:rsid w:val="00943FA9"/>
    <w:rsid w:val="009443FF"/>
    <w:rsid w:val="0094455D"/>
    <w:rsid w:val="00944AA8"/>
    <w:rsid w:val="00944E57"/>
    <w:rsid w:val="00945EF9"/>
    <w:rsid w:val="009460D8"/>
    <w:rsid w:val="009462C7"/>
    <w:rsid w:val="00946419"/>
    <w:rsid w:val="00946488"/>
    <w:rsid w:val="009468E8"/>
    <w:rsid w:val="00946D7D"/>
    <w:rsid w:val="00946FCD"/>
    <w:rsid w:val="00947E29"/>
    <w:rsid w:val="0095039F"/>
    <w:rsid w:val="0095049F"/>
    <w:rsid w:val="00950D23"/>
    <w:rsid w:val="009513C3"/>
    <w:rsid w:val="00951816"/>
    <w:rsid w:val="00951817"/>
    <w:rsid w:val="00951844"/>
    <w:rsid w:val="009519D9"/>
    <w:rsid w:val="00951A3B"/>
    <w:rsid w:val="009522E9"/>
    <w:rsid w:val="0095247B"/>
    <w:rsid w:val="009538FC"/>
    <w:rsid w:val="00953B08"/>
    <w:rsid w:val="00955EF0"/>
    <w:rsid w:val="00956552"/>
    <w:rsid w:val="00956ECA"/>
    <w:rsid w:val="00957371"/>
    <w:rsid w:val="009573FA"/>
    <w:rsid w:val="00960091"/>
    <w:rsid w:val="00960672"/>
    <w:rsid w:val="00960AA0"/>
    <w:rsid w:val="00960D79"/>
    <w:rsid w:val="00961768"/>
    <w:rsid w:val="009619BA"/>
    <w:rsid w:val="0096229E"/>
    <w:rsid w:val="0096267A"/>
    <w:rsid w:val="0096295C"/>
    <w:rsid w:val="00964003"/>
    <w:rsid w:val="009642BB"/>
    <w:rsid w:val="009644E2"/>
    <w:rsid w:val="009647C5"/>
    <w:rsid w:val="00964D53"/>
    <w:rsid w:val="009655DE"/>
    <w:rsid w:val="009658E0"/>
    <w:rsid w:val="009661BC"/>
    <w:rsid w:val="00966CBF"/>
    <w:rsid w:val="0096792B"/>
    <w:rsid w:val="00967DAA"/>
    <w:rsid w:val="0097095B"/>
    <w:rsid w:val="00970B24"/>
    <w:rsid w:val="00970D36"/>
    <w:rsid w:val="0097181C"/>
    <w:rsid w:val="0097235F"/>
    <w:rsid w:val="009730F0"/>
    <w:rsid w:val="009735A9"/>
    <w:rsid w:val="009735D7"/>
    <w:rsid w:val="00973CB4"/>
    <w:rsid w:val="009741E4"/>
    <w:rsid w:val="00974877"/>
    <w:rsid w:val="00974B76"/>
    <w:rsid w:val="0097535A"/>
    <w:rsid w:val="00975D53"/>
    <w:rsid w:val="00976AAA"/>
    <w:rsid w:val="00976ABB"/>
    <w:rsid w:val="009776DA"/>
    <w:rsid w:val="00977702"/>
    <w:rsid w:val="00980F34"/>
    <w:rsid w:val="009819A2"/>
    <w:rsid w:val="00981F37"/>
    <w:rsid w:val="009823A9"/>
    <w:rsid w:val="00982769"/>
    <w:rsid w:val="00982846"/>
    <w:rsid w:val="009828B3"/>
    <w:rsid w:val="00982A58"/>
    <w:rsid w:val="00983289"/>
    <w:rsid w:val="009835B7"/>
    <w:rsid w:val="009835F5"/>
    <w:rsid w:val="0098376A"/>
    <w:rsid w:val="00984300"/>
    <w:rsid w:val="009848CF"/>
    <w:rsid w:val="009849CB"/>
    <w:rsid w:val="00984D57"/>
    <w:rsid w:val="00984ED1"/>
    <w:rsid w:val="009861D7"/>
    <w:rsid w:val="009863E4"/>
    <w:rsid w:val="009865AB"/>
    <w:rsid w:val="00986850"/>
    <w:rsid w:val="009876E3"/>
    <w:rsid w:val="0098790F"/>
    <w:rsid w:val="00987C58"/>
    <w:rsid w:val="00987DE9"/>
    <w:rsid w:val="00991FF3"/>
    <w:rsid w:val="0099231F"/>
    <w:rsid w:val="00992A4D"/>
    <w:rsid w:val="00992BFF"/>
    <w:rsid w:val="00993514"/>
    <w:rsid w:val="00994180"/>
    <w:rsid w:val="00994563"/>
    <w:rsid w:val="009946A7"/>
    <w:rsid w:val="0099497D"/>
    <w:rsid w:val="009949F5"/>
    <w:rsid w:val="00994DFC"/>
    <w:rsid w:val="00995261"/>
    <w:rsid w:val="00995869"/>
    <w:rsid w:val="00996056"/>
    <w:rsid w:val="0099764D"/>
    <w:rsid w:val="00997658"/>
    <w:rsid w:val="00997719"/>
    <w:rsid w:val="00997B7F"/>
    <w:rsid w:val="009A0B64"/>
    <w:rsid w:val="009A104C"/>
    <w:rsid w:val="009A1108"/>
    <w:rsid w:val="009A17AF"/>
    <w:rsid w:val="009A1BBC"/>
    <w:rsid w:val="009A3D7A"/>
    <w:rsid w:val="009A40C5"/>
    <w:rsid w:val="009A42BF"/>
    <w:rsid w:val="009A4721"/>
    <w:rsid w:val="009A4DF0"/>
    <w:rsid w:val="009A4FEE"/>
    <w:rsid w:val="009A5C3A"/>
    <w:rsid w:val="009A6E4F"/>
    <w:rsid w:val="009A6F99"/>
    <w:rsid w:val="009A74BE"/>
    <w:rsid w:val="009A758E"/>
    <w:rsid w:val="009A7A86"/>
    <w:rsid w:val="009A7C31"/>
    <w:rsid w:val="009B0557"/>
    <w:rsid w:val="009B07B5"/>
    <w:rsid w:val="009B0D3F"/>
    <w:rsid w:val="009B0DD2"/>
    <w:rsid w:val="009B11B2"/>
    <w:rsid w:val="009B2BCC"/>
    <w:rsid w:val="009B2BD6"/>
    <w:rsid w:val="009B32CE"/>
    <w:rsid w:val="009B37B8"/>
    <w:rsid w:val="009B3A21"/>
    <w:rsid w:val="009B3A23"/>
    <w:rsid w:val="009B3A88"/>
    <w:rsid w:val="009B3C97"/>
    <w:rsid w:val="009B4BE8"/>
    <w:rsid w:val="009B4D2D"/>
    <w:rsid w:val="009B5CA2"/>
    <w:rsid w:val="009B5F44"/>
    <w:rsid w:val="009B6731"/>
    <w:rsid w:val="009B6AE1"/>
    <w:rsid w:val="009B6D16"/>
    <w:rsid w:val="009B6FEA"/>
    <w:rsid w:val="009B733C"/>
    <w:rsid w:val="009B7B53"/>
    <w:rsid w:val="009B7D89"/>
    <w:rsid w:val="009C096A"/>
    <w:rsid w:val="009C0DEA"/>
    <w:rsid w:val="009C1276"/>
    <w:rsid w:val="009C167B"/>
    <w:rsid w:val="009C29C1"/>
    <w:rsid w:val="009C3296"/>
    <w:rsid w:val="009C33BE"/>
    <w:rsid w:val="009C3F07"/>
    <w:rsid w:val="009C4A2F"/>
    <w:rsid w:val="009C4B13"/>
    <w:rsid w:val="009C4C11"/>
    <w:rsid w:val="009C501B"/>
    <w:rsid w:val="009C5538"/>
    <w:rsid w:val="009C6976"/>
    <w:rsid w:val="009C6FA5"/>
    <w:rsid w:val="009C74FD"/>
    <w:rsid w:val="009C7BA8"/>
    <w:rsid w:val="009D0024"/>
    <w:rsid w:val="009D0D38"/>
    <w:rsid w:val="009D202B"/>
    <w:rsid w:val="009D234B"/>
    <w:rsid w:val="009D2514"/>
    <w:rsid w:val="009D2C00"/>
    <w:rsid w:val="009D2FA2"/>
    <w:rsid w:val="009D36FC"/>
    <w:rsid w:val="009D373B"/>
    <w:rsid w:val="009D373C"/>
    <w:rsid w:val="009D4114"/>
    <w:rsid w:val="009D4659"/>
    <w:rsid w:val="009D517C"/>
    <w:rsid w:val="009D599E"/>
    <w:rsid w:val="009D5D15"/>
    <w:rsid w:val="009D5EAA"/>
    <w:rsid w:val="009D5F92"/>
    <w:rsid w:val="009D634E"/>
    <w:rsid w:val="009D66E6"/>
    <w:rsid w:val="009D697E"/>
    <w:rsid w:val="009D6C8D"/>
    <w:rsid w:val="009D720C"/>
    <w:rsid w:val="009D7647"/>
    <w:rsid w:val="009D7695"/>
    <w:rsid w:val="009D78E5"/>
    <w:rsid w:val="009E05F5"/>
    <w:rsid w:val="009E186F"/>
    <w:rsid w:val="009E19E3"/>
    <w:rsid w:val="009E1BC6"/>
    <w:rsid w:val="009E1C90"/>
    <w:rsid w:val="009E2611"/>
    <w:rsid w:val="009E295C"/>
    <w:rsid w:val="009E30D7"/>
    <w:rsid w:val="009E3651"/>
    <w:rsid w:val="009E3B76"/>
    <w:rsid w:val="009E45B0"/>
    <w:rsid w:val="009E49A8"/>
    <w:rsid w:val="009E4CEE"/>
    <w:rsid w:val="009E5555"/>
    <w:rsid w:val="009E5BA5"/>
    <w:rsid w:val="009E6D34"/>
    <w:rsid w:val="009E701A"/>
    <w:rsid w:val="009E74A2"/>
    <w:rsid w:val="009E79E3"/>
    <w:rsid w:val="009F093F"/>
    <w:rsid w:val="009F1438"/>
    <w:rsid w:val="009F1467"/>
    <w:rsid w:val="009F1FB4"/>
    <w:rsid w:val="009F208C"/>
    <w:rsid w:val="009F253E"/>
    <w:rsid w:val="009F28C9"/>
    <w:rsid w:val="009F2EB8"/>
    <w:rsid w:val="009F2F9A"/>
    <w:rsid w:val="009F327C"/>
    <w:rsid w:val="009F37D9"/>
    <w:rsid w:val="009F38D9"/>
    <w:rsid w:val="009F4594"/>
    <w:rsid w:val="009F478B"/>
    <w:rsid w:val="009F4E13"/>
    <w:rsid w:val="009F52C3"/>
    <w:rsid w:val="009F6275"/>
    <w:rsid w:val="009F6366"/>
    <w:rsid w:val="009F700E"/>
    <w:rsid w:val="009F7948"/>
    <w:rsid w:val="00A004F6"/>
    <w:rsid w:val="00A0066E"/>
    <w:rsid w:val="00A0080F"/>
    <w:rsid w:val="00A00BC2"/>
    <w:rsid w:val="00A00ED9"/>
    <w:rsid w:val="00A01796"/>
    <w:rsid w:val="00A019B3"/>
    <w:rsid w:val="00A019C2"/>
    <w:rsid w:val="00A01C66"/>
    <w:rsid w:val="00A02858"/>
    <w:rsid w:val="00A029E3"/>
    <w:rsid w:val="00A0321E"/>
    <w:rsid w:val="00A03233"/>
    <w:rsid w:val="00A03253"/>
    <w:rsid w:val="00A03BB9"/>
    <w:rsid w:val="00A0450A"/>
    <w:rsid w:val="00A04CE2"/>
    <w:rsid w:val="00A05ABB"/>
    <w:rsid w:val="00A05D46"/>
    <w:rsid w:val="00A06A4E"/>
    <w:rsid w:val="00A073EB"/>
    <w:rsid w:val="00A07891"/>
    <w:rsid w:val="00A07C6E"/>
    <w:rsid w:val="00A07D2B"/>
    <w:rsid w:val="00A100F0"/>
    <w:rsid w:val="00A1095E"/>
    <w:rsid w:val="00A10AE6"/>
    <w:rsid w:val="00A1146E"/>
    <w:rsid w:val="00A11740"/>
    <w:rsid w:val="00A11B75"/>
    <w:rsid w:val="00A11EB6"/>
    <w:rsid w:val="00A12943"/>
    <w:rsid w:val="00A12D7E"/>
    <w:rsid w:val="00A14C0E"/>
    <w:rsid w:val="00A15046"/>
    <w:rsid w:val="00A15D9F"/>
    <w:rsid w:val="00A15FC9"/>
    <w:rsid w:val="00A178AD"/>
    <w:rsid w:val="00A17BF5"/>
    <w:rsid w:val="00A200CA"/>
    <w:rsid w:val="00A2053B"/>
    <w:rsid w:val="00A207A0"/>
    <w:rsid w:val="00A20E10"/>
    <w:rsid w:val="00A21436"/>
    <w:rsid w:val="00A21B52"/>
    <w:rsid w:val="00A2238A"/>
    <w:rsid w:val="00A225BF"/>
    <w:rsid w:val="00A229D2"/>
    <w:rsid w:val="00A240D3"/>
    <w:rsid w:val="00A24132"/>
    <w:rsid w:val="00A245F1"/>
    <w:rsid w:val="00A24EBF"/>
    <w:rsid w:val="00A25301"/>
    <w:rsid w:val="00A258E3"/>
    <w:rsid w:val="00A25F20"/>
    <w:rsid w:val="00A26489"/>
    <w:rsid w:val="00A26D38"/>
    <w:rsid w:val="00A26E83"/>
    <w:rsid w:val="00A27619"/>
    <w:rsid w:val="00A27E53"/>
    <w:rsid w:val="00A307FE"/>
    <w:rsid w:val="00A30DB8"/>
    <w:rsid w:val="00A31390"/>
    <w:rsid w:val="00A318EA"/>
    <w:rsid w:val="00A325D3"/>
    <w:rsid w:val="00A325F7"/>
    <w:rsid w:val="00A326A4"/>
    <w:rsid w:val="00A3289C"/>
    <w:rsid w:val="00A329FE"/>
    <w:rsid w:val="00A333B4"/>
    <w:rsid w:val="00A342C5"/>
    <w:rsid w:val="00A34FB2"/>
    <w:rsid w:val="00A35212"/>
    <w:rsid w:val="00A35BC3"/>
    <w:rsid w:val="00A36529"/>
    <w:rsid w:val="00A36C09"/>
    <w:rsid w:val="00A37196"/>
    <w:rsid w:val="00A37A76"/>
    <w:rsid w:val="00A37CBE"/>
    <w:rsid w:val="00A40B0D"/>
    <w:rsid w:val="00A40D67"/>
    <w:rsid w:val="00A40E6A"/>
    <w:rsid w:val="00A40FEE"/>
    <w:rsid w:val="00A412B2"/>
    <w:rsid w:val="00A416CD"/>
    <w:rsid w:val="00A41AC9"/>
    <w:rsid w:val="00A4203F"/>
    <w:rsid w:val="00A42151"/>
    <w:rsid w:val="00A4246D"/>
    <w:rsid w:val="00A425CE"/>
    <w:rsid w:val="00A42CBC"/>
    <w:rsid w:val="00A4424E"/>
    <w:rsid w:val="00A44835"/>
    <w:rsid w:val="00A4490A"/>
    <w:rsid w:val="00A451CF"/>
    <w:rsid w:val="00A45228"/>
    <w:rsid w:val="00A45854"/>
    <w:rsid w:val="00A45E57"/>
    <w:rsid w:val="00A468F3"/>
    <w:rsid w:val="00A46CD1"/>
    <w:rsid w:val="00A473D7"/>
    <w:rsid w:val="00A475A5"/>
    <w:rsid w:val="00A478F0"/>
    <w:rsid w:val="00A50461"/>
    <w:rsid w:val="00A50491"/>
    <w:rsid w:val="00A5088B"/>
    <w:rsid w:val="00A510A8"/>
    <w:rsid w:val="00A51156"/>
    <w:rsid w:val="00A5128B"/>
    <w:rsid w:val="00A52042"/>
    <w:rsid w:val="00A5207A"/>
    <w:rsid w:val="00A522CA"/>
    <w:rsid w:val="00A52790"/>
    <w:rsid w:val="00A52970"/>
    <w:rsid w:val="00A53925"/>
    <w:rsid w:val="00A54111"/>
    <w:rsid w:val="00A54468"/>
    <w:rsid w:val="00A54B25"/>
    <w:rsid w:val="00A54B54"/>
    <w:rsid w:val="00A54D67"/>
    <w:rsid w:val="00A55B1A"/>
    <w:rsid w:val="00A55C18"/>
    <w:rsid w:val="00A5607D"/>
    <w:rsid w:val="00A56475"/>
    <w:rsid w:val="00A56DD2"/>
    <w:rsid w:val="00A56EAA"/>
    <w:rsid w:val="00A5708C"/>
    <w:rsid w:val="00A57342"/>
    <w:rsid w:val="00A57375"/>
    <w:rsid w:val="00A60239"/>
    <w:rsid w:val="00A60D91"/>
    <w:rsid w:val="00A61385"/>
    <w:rsid w:val="00A61629"/>
    <w:rsid w:val="00A6169C"/>
    <w:rsid w:val="00A61E6C"/>
    <w:rsid w:val="00A625EE"/>
    <w:rsid w:val="00A642B2"/>
    <w:rsid w:val="00A6495B"/>
    <w:rsid w:val="00A65174"/>
    <w:rsid w:val="00A651D7"/>
    <w:rsid w:val="00A65C62"/>
    <w:rsid w:val="00A65D7D"/>
    <w:rsid w:val="00A66628"/>
    <w:rsid w:val="00A66825"/>
    <w:rsid w:val="00A66F30"/>
    <w:rsid w:val="00A67014"/>
    <w:rsid w:val="00A67C2B"/>
    <w:rsid w:val="00A67DF7"/>
    <w:rsid w:val="00A70AA7"/>
    <w:rsid w:val="00A70E26"/>
    <w:rsid w:val="00A7145A"/>
    <w:rsid w:val="00A71EC6"/>
    <w:rsid w:val="00A72030"/>
    <w:rsid w:val="00A72639"/>
    <w:rsid w:val="00A72780"/>
    <w:rsid w:val="00A729D4"/>
    <w:rsid w:val="00A73064"/>
    <w:rsid w:val="00A7322B"/>
    <w:rsid w:val="00A73B93"/>
    <w:rsid w:val="00A74C34"/>
    <w:rsid w:val="00A751EE"/>
    <w:rsid w:val="00A752F0"/>
    <w:rsid w:val="00A75863"/>
    <w:rsid w:val="00A75F6E"/>
    <w:rsid w:val="00A76850"/>
    <w:rsid w:val="00A76BD8"/>
    <w:rsid w:val="00A806F5"/>
    <w:rsid w:val="00A808E0"/>
    <w:rsid w:val="00A80BF5"/>
    <w:rsid w:val="00A81B8C"/>
    <w:rsid w:val="00A82327"/>
    <w:rsid w:val="00A830C7"/>
    <w:rsid w:val="00A832C5"/>
    <w:rsid w:val="00A836E0"/>
    <w:rsid w:val="00A83E29"/>
    <w:rsid w:val="00A8408C"/>
    <w:rsid w:val="00A840DB"/>
    <w:rsid w:val="00A84118"/>
    <w:rsid w:val="00A852E7"/>
    <w:rsid w:val="00A85805"/>
    <w:rsid w:val="00A85C56"/>
    <w:rsid w:val="00A85C97"/>
    <w:rsid w:val="00A85D4F"/>
    <w:rsid w:val="00A86262"/>
    <w:rsid w:val="00A86425"/>
    <w:rsid w:val="00A866BC"/>
    <w:rsid w:val="00A874B1"/>
    <w:rsid w:val="00A90BF9"/>
    <w:rsid w:val="00A910B8"/>
    <w:rsid w:val="00A910D7"/>
    <w:rsid w:val="00A9196E"/>
    <w:rsid w:val="00A91EF9"/>
    <w:rsid w:val="00A91FDC"/>
    <w:rsid w:val="00A91FFD"/>
    <w:rsid w:val="00A92207"/>
    <w:rsid w:val="00A9230F"/>
    <w:rsid w:val="00A9232E"/>
    <w:rsid w:val="00A924C1"/>
    <w:rsid w:val="00A92B5D"/>
    <w:rsid w:val="00A92E81"/>
    <w:rsid w:val="00A9305E"/>
    <w:rsid w:val="00A93123"/>
    <w:rsid w:val="00A938F5"/>
    <w:rsid w:val="00A93D78"/>
    <w:rsid w:val="00A940CC"/>
    <w:rsid w:val="00A94206"/>
    <w:rsid w:val="00A94D2D"/>
    <w:rsid w:val="00A95657"/>
    <w:rsid w:val="00A95880"/>
    <w:rsid w:val="00A961CF"/>
    <w:rsid w:val="00A96272"/>
    <w:rsid w:val="00A96C9C"/>
    <w:rsid w:val="00A97158"/>
    <w:rsid w:val="00AA03CC"/>
    <w:rsid w:val="00AA091F"/>
    <w:rsid w:val="00AA09C3"/>
    <w:rsid w:val="00AA09C7"/>
    <w:rsid w:val="00AA14FE"/>
    <w:rsid w:val="00AA150B"/>
    <w:rsid w:val="00AA1743"/>
    <w:rsid w:val="00AA21DB"/>
    <w:rsid w:val="00AA25F0"/>
    <w:rsid w:val="00AA2B57"/>
    <w:rsid w:val="00AA2C70"/>
    <w:rsid w:val="00AA3549"/>
    <w:rsid w:val="00AA3D59"/>
    <w:rsid w:val="00AA46D0"/>
    <w:rsid w:val="00AA4BDF"/>
    <w:rsid w:val="00AA5CA9"/>
    <w:rsid w:val="00AA5F3B"/>
    <w:rsid w:val="00AA696E"/>
    <w:rsid w:val="00AA6BF5"/>
    <w:rsid w:val="00AA76D0"/>
    <w:rsid w:val="00AA7F89"/>
    <w:rsid w:val="00AB1030"/>
    <w:rsid w:val="00AB1088"/>
    <w:rsid w:val="00AB13AF"/>
    <w:rsid w:val="00AB1692"/>
    <w:rsid w:val="00AB1852"/>
    <w:rsid w:val="00AB1E7D"/>
    <w:rsid w:val="00AB21BD"/>
    <w:rsid w:val="00AB251A"/>
    <w:rsid w:val="00AB2ECB"/>
    <w:rsid w:val="00AB41B5"/>
    <w:rsid w:val="00AB494C"/>
    <w:rsid w:val="00AB4B0D"/>
    <w:rsid w:val="00AB4C75"/>
    <w:rsid w:val="00AB5610"/>
    <w:rsid w:val="00AB70E2"/>
    <w:rsid w:val="00AB771F"/>
    <w:rsid w:val="00AB7B3C"/>
    <w:rsid w:val="00AC0631"/>
    <w:rsid w:val="00AC065E"/>
    <w:rsid w:val="00AC123A"/>
    <w:rsid w:val="00AC1A04"/>
    <w:rsid w:val="00AC1F59"/>
    <w:rsid w:val="00AC3E83"/>
    <w:rsid w:val="00AC4198"/>
    <w:rsid w:val="00AC424E"/>
    <w:rsid w:val="00AC57A2"/>
    <w:rsid w:val="00AC61C9"/>
    <w:rsid w:val="00AC61E5"/>
    <w:rsid w:val="00AC62C2"/>
    <w:rsid w:val="00AC642F"/>
    <w:rsid w:val="00AC6C0C"/>
    <w:rsid w:val="00AC6FE0"/>
    <w:rsid w:val="00AC7476"/>
    <w:rsid w:val="00AC7D38"/>
    <w:rsid w:val="00AD13F5"/>
    <w:rsid w:val="00AD2495"/>
    <w:rsid w:val="00AD2C67"/>
    <w:rsid w:val="00AD3730"/>
    <w:rsid w:val="00AD3F3A"/>
    <w:rsid w:val="00AD4170"/>
    <w:rsid w:val="00AD4FAF"/>
    <w:rsid w:val="00AD5375"/>
    <w:rsid w:val="00AD57DD"/>
    <w:rsid w:val="00AD62C2"/>
    <w:rsid w:val="00AD70DB"/>
    <w:rsid w:val="00AD78F2"/>
    <w:rsid w:val="00AE0336"/>
    <w:rsid w:val="00AE0508"/>
    <w:rsid w:val="00AE08B1"/>
    <w:rsid w:val="00AE0E66"/>
    <w:rsid w:val="00AE1C76"/>
    <w:rsid w:val="00AE1D0E"/>
    <w:rsid w:val="00AE2950"/>
    <w:rsid w:val="00AE2A76"/>
    <w:rsid w:val="00AE2AC1"/>
    <w:rsid w:val="00AE2B8C"/>
    <w:rsid w:val="00AE2DA5"/>
    <w:rsid w:val="00AE2DE8"/>
    <w:rsid w:val="00AE2FA0"/>
    <w:rsid w:val="00AE3562"/>
    <w:rsid w:val="00AE3DE0"/>
    <w:rsid w:val="00AE4FEA"/>
    <w:rsid w:val="00AE51C8"/>
    <w:rsid w:val="00AE525D"/>
    <w:rsid w:val="00AE5759"/>
    <w:rsid w:val="00AE5CDC"/>
    <w:rsid w:val="00AE6661"/>
    <w:rsid w:val="00AE6AD8"/>
    <w:rsid w:val="00AE7014"/>
    <w:rsid w:val="00AE7383"/>
    <w:rsid w:val="00AE75E0"/>
    <w:rsid w:val="00AE7F48"/>
    <w:rsid w:val="00AF01C2"/>
    <w:rsid w:val="00AF0466"/>
    <w:rsid w:val="00AF137C"/>
    <w:rsid w:val="00AF18DD"/>
    <w:rsid w:val="00AF1A88"/>
    <w:rsid w:val="00AF1FB1"/>
    <w:rsid w:val="00AF211B"/>
    <w:rsid w:val="00AF2238"/>
    <w:rsid w:val="00AF2DCE"/>
    <w:rsid w:val="00AF3F12"/>
    <w:rsid w:val="00AF4631"/>
    <w:rsid w:val="00AF4906"/>
    <w:rsid w:val="00AF53AB"/>
    <w:rsid w:val="00AF5740"/>
    <w:rsid w:val="00AF580D"/>
    <w:rsid w:val="00AF5CC5"/>
    <w:rsid w:val="00AF61A9"/>
    <w:rsid w:val="00B00784"/>
    <w:rsid w:val="00B00BE3"/>
    <w:rsid w:val="00B022DA"/>
    <w:rsid w:val="00B02E01"/>
    <w:rsid w:val="00B03095"/>
    <w:rsid w:val="00B03BF8"/>
    <w:rsid w:val="00B04583"/>
    <w:rsid w:val="00B049C7"/>
    <w:rsid w:val="00B05265"/>
    <w:rsid w:val="00B0530B"/>
    <w:rsid w:val="00B05336"/>
    <w:rsid w:val="00B054FE"/>
    <w:rsid w:val="00B0578D"/>
    <w:rsid w:val="00B063A1"/>
    <w:rsid w:val="00B06D7E"/>
    <w:rsid w:val="00B0705E"/>
    <w:rsid w:val="00B07722"/>
    <w:rsid w:val="00B10952"/>
    <w:rsid w:val="00B10C38"/>
    <w:rsid w:val="00B12187"/>
    <w:rsid w:val="00B12503"/>
    <w:rsid w:val="00B12808"/>
    <w:rsid w:val="00B12C43"/>
    <w:rsid w:val="00B1395D"/>
    <w:rsid w:val="00B13F57"/>
    <w:rsid w:val="00B1413F"/>
    <w:rsid w:val="00B16214"/>
    <w:rsid w:val="00B1647B"/>
    <w:rsid w:val="00B169F1"/>
    <w:rsid w:val="00B170E3"/>
    <w:rsid w:val="00B17A94"/>
    <w:rsid w:val="00B17E75"/>
    <w:rsid w:val="00B20318"/>
    <w:rsid w:val="00B207F0"/>
    <w:rsid w:val="00B215B7"/>
    <w:rsid w:val="00B2164F"/>
    <w:rsid w:val="00B22A52"/>
    <w:rsid w:val="00B22C38"/>
    <w:rsid w:val="00B22C42"/>
    <w:rsid w:val="00B2366B"/>
    <w:rsid w:val="00B2436B"/>
    <w:rsid w:val="00B24E20"/>
    <w:rsid w:val="00B25283"/>
    <w:rsid w:val="00B252DF"/>
    <w:rsid w:val="00B258E4"/>
    <w:rsid w:val="00B25F02"/>
    <w:rsid w:val="00B30571"/>
    <w:rsid w:val="00B30BC0"/>
    <w:rsid w:val="00B3183D"/>
    <w:rsid w:val="00B31A27"/>
    <w:rsid w:val="00B31D0B"/>
    <w:rsid w:val="00B32251"/>
    <w:rsid w:val="00B32404"/>
    <w:rsid w:val="00B3244F"/>
    <w:rsid w:val="00B32592"/>
    <w:rsid w:val="00B3269D"/>
    <w:rsid w:val="00B32D32"/>
    <w:rsid w:val="00B335B7"/>
    <w:rsid w:val="00B335FB"/>
    <w:rsid w:val="00B34A3F"/>
    <w:rsid w:val="00B351CC"/>
    <w:rsid w:val="00B357BB"/>
    <w:rsid w:val="00B364A5"/>
    <w:rsid w:val="00B367F8"/>
    <w:rsid w:val="00B36A5C"/>
    <w:rsid w:val="00B37242"/>
    <w:rsid w:val="00B37D4B"/>
    <w:rsid w:val="00B37F89"/>
    <w:rsid w:val="00B404AD"/>
    <w:rsid w:val="00B405A7"/>
    <w:rsid w:val="00B40A3D"/>
    <w:rsid w:val="00B4105D"/>
    <w:rsid w:val="00B41109"/>
    <w:rsid w:val="00B417C6"/>
    <w:rsid w:val="00B41C2F"/>
    <w:rsid w:val="00B420D4"/>
    <w:rsid w:val="00B42AF2"/>
    <w:rsid w:val="00B433CF"/>
    <w:rsid w:val="00B433E3"/>
    <w:rsid w:val="00B43EF6"/>
    <w:rsid w:val="00B43FED"/>
    <w:rsid w:val="00B44B8C"/>
    <w:rsid w:val="00B45BD2"/>
    <w:rsid w:val="00B45BE7"/>
    <w:rsid w:val="00B45E95"/>
    <w:rsid w:val="00B46D61"/>
    <w:rsid w:val="00B46D83"/>
    <w:rsid w:val="00B479BE"/>
    <w:rsid w:val="00B47B46"/>
    <w:rsid w:val="00B47E4F"/>
    <w:rsid w:val="00B50075"/>
    <w:rsid w:val="00B5012D"/>
    <w:rsid w:val="00B5026C"/>
    <w:rsid w:val="00B50F3D"/>
    <w:rsid w:val="00B52653"/>
    <w:rsid w:val="00B5457A"/>
    <w:rsid w:val="00B546F9"/>
    <w:rsid w:val="00B5516C"/>
    <w:rsid w:val="00B55DE1"/>
    <w:rsid w:val="00B55FD2"/>
    <w:rsid w:val="00B5657D"/>
    <w:rsid w:val="00B56E98"/>
    <w:rsid w:val="00B570B9"/>
    <w:rsid w:val="00B57631"/>
    <w:rsid w:val="00B601A4"/>
    <w:rsid w:val="00B601BE"/>
    <w:rsid w:val="00B6039B"/>
    <w:rsid w:val="00B6041A"/>
    <w:rsid w:val="00B6071F"/>
    <w:rsid w:val="00B607A5"/>
    <w:rsid w:val="00B61377"/>
    <w:rsid w:val="00B61F76"/>
    <w:rsid w:val="00B622C0"/>
    <w:rsid w:val="00B624BF"/>
    <w:rsid w:val="00B62796"/>
    <w:rsid w:val="00B62A72"/>
    <w:rsid w:val="00B62CF1"/>
    <w:rsid w:val="00B62E04"/>
    <w:rsid w:val="00B62E15"/>
    <w:rsid w:val="00B63167"/>
    <w:rsid w:val="00B63A91"/>
    <w:rsid w:val="00B63C4E"/>
    <w:rsid w:val="00B63F52"/>
    <w:rsid w:val="00B6421E"/>
    <w:rsid w:val="00B65961"/>
    <w:rsid w:val="00B65C38"/>
    <w:rsid w:val="00B66D74"/>
    <w:rsid w:val="00B6725C"/>
    <w:rsid w:val="00B673CD"/>
    <w:rsid w:val="00B6759B"/>
    <w:rsid w:val="00B67FDF"/>
    <w:rsid w:val="00B701AF"/>
    <w:rsid w:val="00B701C7"/>
    <w:rsid w:val="00B70200"/>
    <w:rsid w:val="00B7027B"/>
    <w:rsid w:val="00B702B0"/>
    <w:rsid w:val="00B70617"/>
    <w:rsid w:val="00B70A22"/>
    <w:rsid w:val="00B70B77"/>
    <w:rsid w:val="00B70FF4"/>
    <w:rsid w:val="00B71238"/>
    <w:rsid w:val="00B71507"/>
    <w:rsid w:val="00B7203F"/>
    <w:rsid w:val="00B731B5"/>
    <w:rsid w:val="00B73337"/>
    <w:rsid w:val="00B73768"/>
    <w:rsid w:val="00B737CB"/>
    <w:rsid w:val="00B738B8"/>
    <w:rsid w:val="00B73C8C"/>
    <w:rsid w:val="00B7410B"/>
    <w:rsid w:val="00B746C9"/>
    <w:rsid w:val="00B75599"/>
    <w:rsid w:val="00B7666E"/>
    <w:rsid w:val="00B767F9"/>
    <w:rsid w:val="00B771A7"/>
    <w:rsid w:val="00B772E6"/>
    <w:rsid w:val="00B774CD"/>
    <w:rsid w:val="00B77DB3"/>
    <w:rsid w:val="00B80A1A"/>
    <w:rsid w:val="00B80A5D"/>
    <w:rsid w:val="00B81156"/>
    <w:rsid w:val="00B81E59"/>
    <w:rsid w:val="00B8221A"/>
    <w:rsid w:val="00B82711"/>
    <w:rsid w:val="00B82814"/>
    <w:rsid w:val="00B82B66"/>
    <w:rsid w:val="00B837F8"/>
    <w:rsid w:val="00B83FE4"/>
    <w:rsid w:val="00B8437A"/>
    <w:rsid w:val="00B843EE"/>
    <w:rsid w:val="00B8441D"/>
    <w:rsid w:val="00B84C5E"/>
    <w:rsid w:val="00B85270"/>
    <w:rsid w:val="00B853C2"/>
    <w:rsid w:val="00B856D8"/>
    <w:rsid w:val="00B858F4"/>
    <w:rsid w:val="00B85AD8"/>
    <w:rsid w:val="00B85B40"/>
    <w:rsid w:val="00B8605C"/>
    <w:rsid w:val="00B86749"/>
    <w:rsid w:val="00B879E3"/>
    <w:rsid w:val="00B87C74"/>
    <w:rsid w:val="00B87D3B"/>
    <w:rsid w:val="00B9058E"/>
    <w:rsid w:val="00B90B3E"/>
    <w:rsid w:val="00B90FDC"/>
    <w:rsid w:val="00B92BA0"/>
    <w:rsid w:val="00B941D6"/>
    <w:rsid w:val="00B94A32"/>
    <w:rsid w:val="00B9596B"/>
    <w:rsid w:val="00B95AA9"/>
    <w:rsid w:val="00B95E1B"/>
    <w:rsid w:val="00B962D3"/>
    <w:rsid w:val="00B965B7"/>
    <w:rsid w:val="00B9677F"/>
    <w:rsid w:val="00B96CFB"/>
    <w:rsid w:val="00BA0265"/>
    <w:rsid w:val="00BA0486"/>
    <w:rsid w:val="00BA04B7"/>
    <w:rsid w:val="00BA0D16"/>
    <w:rsid w:val="00BA1430"/>
    <w:rsid w:val="00BA1B75"/>
    <w:rsid w:val="00BA2051"/>
    <w:rsid w:val="00BA27A0"/>
    <w:rsid w:val="00BA30F9"/>
    <w:rsid w:val="00BA4FF4"/>
    <w:rsid w:val="00BA52F7"/>
    <w:rsid w:val="00BA6424"/>
    <w:rsid w:val="00BA75FF"/>
    <w:rsid w:val="00BA7B13"/>
    <w:rsid w:val="00BB0848"/>
    <w:rsid w:val="00BB1870"/>
    <w:rsid w:val="00BB2B81"/>
    <w:rsid w:val="00BB30F5"/>
    <w:rsid w:val="00BB33AA"/>
    <w:rsid w:val="00BB3932"/>
    <w:rsid w:val="00BB3A51"/>
    <w:rsid w:val="00BB40B2"/>
    <w:rsid w:val="00BB49D0"/>
    <w:rsid w:val="00BB5271"/>
    <w:rsid w:val="00BB5971"/>
    <w:rsid w:val="00BB59F3"/>
    <w:rsid w:val="00BB6BCC"/>
    <w:rsid w:val="00BB6D39"/>
    <w:rsid w:val="00BC04BE"/>
    <w:rsid w:val="00BC0A3F"/>
    <w:rsid w:val="00BC16A0"/>
    <w:rsid w:val="00BC26CD"/>
    <w:rsid w:val="00BC28A0"/>
    <w:rsid w:val="00BC2CEB"/>
    <w:rsid w:val="00BC3589"/>
    <w:rsid w:val="00BC3A33"/>
    <w:rsid w:val="00BC3FE5"/>
    <w:rsid w:val="00BC43B5"/>
    <w:rsid w:val="00BC474D"/>
    <w:rsid w:val="00BC4E8C"/>
    <w:rsid w:val="00BC60A6"/>
    <w:rsid w:val="00BC77FF"/>
    <w:rsid w:val="00BD0382"/>
    <w:rsid w:val="00BD0AA0"/>
    <w:rsid w:val="00BD196B"/>
    <w:rsid w:val="00BD21D9"/>
    <w:rsid w:val="00BD2220"/>
    <w:rsid w:val="00BD231F"/>
    <w:rsid w:val="00BD2429"/>
    <w:rsid w:val="00BD24A5"/>
    <w:rsid w:val="00BD2E1F"/>
    <w:rsid w:val="00BD32AB"/>
    <w:rsid w:val="00BD3B19"/>
    <w:rsid w:val="00BD48B8"/>
    <w:rsid w:val="00BD48BD"/>
    <w:rsid w:val="00BD4CF0"/>
    <w:rsid w:val="00BD511D"/>
    <w:rsid w:val="00BD533F"/>
    <w:rsid w:val="00BD620C"/>
    <w:rsid w:val="00BD6D9C"/>
    <w:rsid w:val="00BD6F00"/>
    <w:rsid w:val="00BD723C"/>
    <w:rsid w:val="00BD73D0"/>
    <w:rsid w:val="00BD7547"/>
    <w:rsid w:val="00BE01F7"/>
    <w:rsid w:val="00BE070B"/>
    <w:rsid w:val="00BE096A"/>
    <w:rsid w:val="00BE09EA"/>
    <w:rsid w:val="00BE2137"/>
    <w:rsid w:val="00BE2E3E"/>
    <w:rsid w:val="00BE2E49"/>
    <w:rsid w:val="00BE3209"/>
    <w:rsid w:val="00BE3E70"/>
    <w:rsid w:val="00BE3E75"/>
    <w:rsid w:val="00BE436C"/>
    <w:rsid w:val="00BE4492"/>
    <w:rsid w:val="00BE4C41"/>
    <w:rsid w:val="00BE55F1"/>
    <w:rsid w:val="00BE6123"/>
    <w:rsid w:val="00BE6A05"/>
    <w:rsid w:val="00BE7776"/>
    <w:rsid w:val="00BF062C"/>
    <w:rsid w:val="00BF0C33"/>
    <w:rsid w:val="00BF0C6E"/>
    <w:rsid w:val="00BF0C7E"/>
    <w:rsid w:val="00BF1958"/>
    <w:rsid w:val="00BF1D73"/>
    <w:rsid w:val="00BF219F"/>
    <w:rsid w:val="00BF245F"/>
    <w:rsid w:val="00BF3323"/>
    <w:rsid w:val="00BF50CA"/>
    <w:rsid w:val="00BF523B"/>
    <w:rsid w:val="00BF54C9"/>
    <w:rsid w:val="00BF63C5"/>
    <w:rsid w:val="00BF697E"/>
    <w:rsid w:val="00BF6A28"/>
    <w:rsid w:val="00BF6B2A"/>
    <w:rsid w:val="00BF71E9"/>
    <w:rsid w:val="00BF7222"/>
    <w:rsid w:val="00BF7BF8"/>
    <w:rsid w:val="00C00371"/>
    <w:rsid w:val="00C008AE"/>
    <w:rsid w:val="00C00BBD"/>
    <w:rsid w:val="00C00C75"/>
    <w:rsid w:val="00C00FDA"/>
    <w:rsid w:val="00C01047"/>
    <w:rsid w:val="00C010F9"/>
    <w:rsid w:val="00C01151"/>
    <w:rsid w:val="00C01202"/>
    <w:rsid w:val="00C01533"/>
    <w:rsid w:val="00C017BB"/>
    <w:rsid w:val="00C02550"/>
    <w:rsid w:val="00C0282B"/>
    <w:rsid w:val="00C02A4A"/>
    <w:rsid w:val="00C02BD4"/>
    <w:rsid w:val="00C02C04"/>
    <w:rsid w:val="00C031DE"/>
    <w:rsid w:val="00C03621"/>
    <w:rsid w:val="00C03744"/>
    <w:rsid w:val="00C03D58"/>
    <w:rsid w:val="00C0484D"/>
    <w:rsid w:val="00C0528E"/>
    <w:rsid w:val="00C052B2"/>
    <w:rsid w:val="00C05517"/>
    <w:rsid w:val="00C0553C"/>
    <w:rsid w:val="00C0555F"/>
    <w:rsid w:val="00C060BA"/>
    <w:rsid w:val="00C06B94"/>
    <w:rsid w:val="00C0709A"/>
    <w:rsid w:val="00C07526"/>
    <w:rsid w:val="00C07CA6"/>
    <w:rsid w:val="00C101CC"/>
    <w:rsid w:val="00C11EBE"/>
    <w:rsid w:val="00C121CA"/>
    <w:rsid w:val="00C123D0"/>
    <w:rsid w:val="00C1325A"/>
    <w:rsid w:val="00C143DF"/>
    <w:rsid w:val="00C14542"/>
    <w:rsid w:val="00C14565"/>
    <w:rsid w:val="00C1634A"/>
    <w:rsid w:val="00C16ACC"/>
    <w:rsid w:val="00C16DC2"/>
    <w:rsid w:val="00C17115"/>
    <w:rsid w:val="00C17E8C"/>
    <w:rsid w:val="00C2046C"/>
    <w:rsid w:val="00C20885"/>
    <w:rsid w:val="00C21F14"/>
    <w:rsid w:val="00C221D3"/>
    <w:rsid w:val="00C22CCC"/>
    <w:rsid w:val="00C22FCE"/>
    <w:rsid w:val="00C23288"/>
    <w:rsid w:val="00C23916"/>
    <w:rsid w:val="00C239BE"/>
    <w:rsid w:val="00C23E77"/>
    <w:rsid w:val="00C24114"/>
    <w:rsid w:val="00C242E0"/>
    <w:rsid w:val="00C25149"/>
    <w:rsid w:val="00C25153"/>
    <w:rsid w:val="00C251BF"/>
    <w:rsid w:val="00C25826"/>
    <w:rsid w:val="00C25956"/>
    <w:rsid w:val="00C25BF3"/>
    <w:rsid w:val="00C26591"/>
    <w:rsid w:val="00C26849"/>
    <w:rsid w:val="00C26F13"/>
    <w:rsid w:val="00C273D2"/>
    <w:rsid w:val="00C27FE4"/>
    <w:rsid w:val="00C309F3"/>
    <w:rsid w:val="00C3105E"/>
    <w:rsid w:val="00C3116D"/>
    <w:rsid w:val="00C31D95"/>
    <w:rsid w:val="00C31FB4"/>
    <w:rsid w:val="00C321BF"/>
    <w:rsid w:val="00C322AD"/>
    <w:rsid w:val="00C32930"/>
    <w:rsid w:val="00C32F81"/>
    <w:rsid w:val="00C33D0B"/>
    <w:rsid w:val="00C33E20"/>
    <w:rsid w:val="00C34021"/>
    <w:rsid w:val="00C36371"/>
    <w:rsid w:val="00C3791C"/>
    <w:rsid w:val="00C40838"/>
    <w:rsid w:val="00C40CD4"/>
    <w:rsid w:val="00C40E95"/>
    <w:rsid w:val="00C424D0"/>
    <w:rsid w:val="00C42D3B"/>
    <w:rsid w:val="00C43007"/>
    <w:rsid w:val="00C43A21"/>
    <w:rsid w:val="00C43A71"/>
    <w:rsid w:val="00C448E5"/>
    <w:rsid w:val="00C45132"/>
    <w:rsid w:val="00C453FC"/>
    <w:rsid w:val="00C45896"/>
    <w:rsid w:val="00C463B2"/>
    <w:rsid w:val="00C46887"/>
    <w:rsid w:val="00C46B9E"/>
    <w:rsid w:val="00C471F0"/>
    <w:rsid w:val="00C47A3C"/>
    <w:rsid w:val="00C47F98"/>
    <w:rsid w:val="00C50492"/>
    <w:rsid w:val="00C50D98"/>
    <w:rsid w:val="00C51707"/>
    <w:rsid w:val="00C51BC8"/>
    <w:rsid w:val="00C52359"/>
    <w:rsid w:val="00C53007"/>
    <w:rsid w:val="00C531DB"/>
    <w:rsid w:val="00C53805"/>
    <w:rsid w:val="00C539DD"/>
    <w:rsid w:val="00C53E11"/>
    <w:rsid w:val="00C53E50"/>
    <w:rsid w:val="00C54044"/>
    <w:rsid w:val="00C54AEE"/>
    <w:rsid w:val="00C54F3C"/>
    <w:rsid w:val="00C54FC2"/>
    <w:rsid w:val="00C55081"/>
    <w:rsid w:val="00C550B3"/>
    <w:rsid w:val="00C55551"/>
    <w:rsid w:val="00C55D43"/>
    <w:rsid w:val="00C561A0"/>
    <w:rsid w:val="00C5658C"/>
    <w:rsid w:val="00C5791F"/>
    <w:rsid w:val="00C5798E"/>
    <w:rsid w:val="00C60AA7"/>
    <w:rsid w:val="00C619AE"/>
    <w:rsid w:val="00C61BDD"/>
    <w:rsid w:val="00C622DA"/>
    <w:rsid w:val="00C62CEE"/>
    <w:rsid w:val="00C634A2"/>
    <w:rsid w:val="00C63728"/>
    <w:rsid w:val="00C63731"/>
    <w:rsid w:val="00C6458B"/>
    <w:rsid w:val="00C6503C"/>
    <w:rsid w:val="00C6505C"/>
    <w:rsid w:val="00C653BF"/>
    <w:rsid w:val="00C656DA"/>
    <w:rsid w:val="00C668B7"/>
    <w:rsid w:val="00C6694C"/>
    <w:rsid w:val="00C669F8"/>
    <w:rsid w:val="00C6704B"/>
    <w:rsid w:val="00C67A29"/>
    <w:rsid w:val="00C67ACB"/>
    <w:rsid w:val="00C67AD8"/>
    <w:rsid w:val="00C67C10"/>
    <w:rsid w:val="00C70084"/>
    <w:rsid w:val="00C70140"/>
    <w:rsid w:val="00C70801"/>
    <w:rsid w:val="00C7180B"/>
    <w:rsid w:val="00C734F6"/>
    <w:rsid w:val="00C73B26"/>
    <w:rsid w:val="00C74174"/>
    <w:rsid w:val="00C74365"/>
    <w:rsid w:val="00C743D1"/>
    <w:rsid w:val="00C74B59"/>
    <w:rsid w:val="00C74B5E"/>
    <w:rsid w:val="00C7549B"/>
    <w:rsid w:val="00C75A9A"/>
    <w:rsid w:val="00C7640A"/>
    <w:rsid w:val="00C76726"/>
    <w:rsid w:val="00C76B22"/>
    <w:rsid w:val="00C76DEB"/>
    <w:rsid w:val="00C77064"/>
    <w:rsid w:val="00C77278"/>
    <w:rsid w:val="00C774F9"/>
    <w:rsid w:val="00C775A1"/>
    <w:rsid w:val="00C77C92"/>
    <w:rsid w:val="00C82153"/>
    <w:rsid w:val="00C82229"/>
    <w:rsid w:val="00C8227A"/>
    <w:rsid w:val="00C82C13"/>
    <w:rsid w:val="00C82FB2"/>
    <w:rsid w:val="00C8300E"/>
    <w:rsid w:val="00C83AD4"/>
    <w:rsid w:val="00C84675"/>
    <w:rsid w:val="00C84D3B"/>
    <w:rsid w:val="00C852C9"/>
    <w:rsid w:val="00C854CA"/>
    <w:rsid w:val="00C85697"/>
    <w:rsid w:val="00C85D48"/>
    <w:rsid w:val="00C85FFD"/>
    <w:rsid w:val="00C861F3"/>
    <w:rsid w:val="00C86B0A"/>
    <w:rsid w:val="00C86B38"/>
    <w:rsid w:val="00C87D67"/>
    <w:rsid w:val="00C9020E"/>
    <w:rsid w:val="00C90C00"/>
    <w:rsid w:val="00C90C72"/>
    <w:rsid w:val="00C90D75"/>
    <w:rsid w:val="00C9155A"/>
    <w:rsid w:val="00C91959"/>
    <w:rsid w:val="00C92596"/>
    <w:rsid w:val="00C928E8"/>
    <w:rsid w:val="00C92BD7"/>
    <w:rsid w:val="00C9325F"/>
    <w:rsid w:val="00C93315"/>
    <w:rsid w:val="00C933FD"/>
    <w:rsid w:val="00C9350D"/>
    <w:rsid w:val="00C937F6"/>
    <w:rsid w:val="00C93867"/>
    <w:rsid w:val="00C947BC"/>
    <w:rsid w:val="00C94A98"/>
    <w:rsid w:val="00C94FF4"/>
    <w:rsid w:val="00C95AFD"/>
    <w:rsid w:val="00C9653F"/>
    <w:rsid w:val="00C96591"/>
    <w:rsid w:val="00C97675"/>
    <w:rsid w:val="00C9795D"/>
    <w:rsid w:val="00C97D9E"/>
    <w:rsid w:val="00CA065E"/>
    <w:rsid w:val="00CA083E"/>
    <w:rsid w:val="00CA0CE8"/>
    <w:rsid w:val="00CA120B"/>
    <w:rsid w:val="00CA12C0"/>
    <w:rsid w:val="00CA1DEB"/>
    <w:rsid w:val="00CA2D02"/>
    <w:rsid w:val="00CA3725"/>
    <w:rsid w:val="00CA3926"/>
    <w:rsid w:val="00CA3E8C"/>
    <w:rsid w:val="00CA431C"/>
    <w:rsid w:val="00CA44B4"/>
    <w:rsid w:val="00CA5A36"/>
    <w:rsid w:val="00CA5BA5"/>
    <w:rsid w:val="00CA5F20"/>
    <w:rsid w:val="00CA65E8"/>
    <w:rsid w:val="00CA67EE"/>
    <w:rsid w:val="00CA6AB8"/>
    <w:rsid w:val="00CA6F22"/>
    <w:rsid w:val="00CA7EE4"/>
    <w:rsid w:val="00CB0149"/>
    <w:rsid w:val="00CB0D84"/>
    <w:rsid w:val="00CB0ED3"/>
    <w:rsid w:val="00CB10F9"/>
    <w:rsid w:val="00CB12E1"/>
    <w:rsid w:val="00CB1ADD"/>
    <w:rsid w:val="00CB23F0"/>
    <w:rsid w:val="00CB4734"/>
    <w:rsid w:val="00CB4C2E"/>
    <w:rsid w:val="00CB5B76"/>
    <w:rsid w:val="00CB60FD"/>
    <w:rsid w:val="00CB61E5"/>
    <w:rsid w:val="00CB644B"/>
    <w:rsid w:val="00CB661B"/>
    <w:rsid w:val="00CB72A9"/>
    <w:rsid w:val="00CB7CA0"/>
    <w:rsid w:val="00CC0A81"/>
    <w:rsid w:val="00CC0B04"/>
    <w:rsid w:val="00CC1CDE"/>
    <w:rsid w:val="00CC2005"/>
    <w:rsid w:val="00CC25D6"/>
    <w:rsid w:val="00CC2FCC"/>
    <w:rsid w:val="00CC2FF1"/>
    <w:rsid w:val="00CC4164"/>
    <w:rsid w:val="00CC48F8"/>
    <w:rsid w:val="00CC4F23"/>
    <w:rsid w:val="00CC5172"/>
    <w:rsid w:val="00CC5E2D"/>
    <w:rsid w:val="00CC7F9C"/>
    <w:rsid w:val="00CD025E"/>
    <w:rsid w:val="00CD1872"/>
    <w:rsid w:val="00CD1DF7"/>
    <w:rsid w:val="00CD1E22"/>
    <w:rsid w:val="00CD2C1C"/>
    <w:rsid w:val="00CD4BA6"/>
    <w:rsid w:val="00CD517D"/>
    <w:rsid w:val="00CD55CC"/>
    <w:rsid w:val="00CD56DE"/>
    <w:rsid w:val="00CD588B"/>
    <w:rsid w:val="00CD5B17"/>
    <w:rsid w:val="00CD5F30"/>
    <w:rsid w:val="00CD745F"/>
    <w:rsid w:val="00CD7B2F"/>
    <w:rsid w:val="00CE022F"/>
    <w:rsid w:val="00CE10A7"/>
    <w:rsid w:val="00CE1538"/>
    <w:rsid w:val="00CE1797"/>
    <w:rsid w:val="00CE1C4B"/>
    <w:rsid w:val="00CE25F0"/>
    <w:rsid w:val="00CE3E1E"/>
    <w:rsid w:val="00CE3E36"/>
    <w:rsid w:val="00CE42D5"/>
    <w:rsid w:val="00CE4594"/>
    <w:rsid w:val="00CE5382"/>
    <w:rsid w:val="00CE5AE9"/>
    <w:rsid w:val="00CE5B98"/>
    <w:rsid w:val="00CE61CA"/>
    <w:rsid w:val="00CF04B0"/>
    <w:rsid w:val="00CF063D"/>
    <w:rsid w:val="00CF10DC"/>
    <w:rsid w:val="00CF15CD"/>
    <w:rsid w:val="00CF1735"/>
    <w:rsid w:val="00CF1946"/>
    <w:rsid w:val="00CF208D"/>
    <w:rsid w:val="00CF260F"/>
    <w:rsid w:val="00CF2EE0"/>
    <w:rsid w:val="00CF2EF9"/>
    <w:rsid w:val="00CF2FAE"/>
    <w:rsid w:val="00CF30FE"/>
    <w:rsid w:val="00CF3387"/>
    <w:rsid w:val="00CF35C3"/>
    <w:rsid w:val="00CF41EF"/>
    <w:rsid w:val="00CF437C"/>
    <w:rsid w:val="00CF4991"/>
    <w:rsid w:val="00CF4F84"/>
    <w:rsid w:val="00CF5C2C"/>
    <w:rsid w:val="00CF6345"/>
    <w:rsid w:val="00CF7B50"/>
    <w:rsid w:val="00CF7DC9"/>
    <w:rsid w:val="00D00144"/>
    <w:rsid w:val="00D002DA"/>
    <w:rsid w:val="00D004D1"/>
    <w:rsid w:val="00D005CB"/>
    <w:rsid w:val="00D01098"/>
    <w:rsid w:val="00D01BC5"/>
    <w:rsid w:val="00D02B95"/>
    <w:rsid w:val="00D03093"/>
    <w:rsid w:val="00D031BB"/>
    <w:rsid w:val="00D03597"/>
    <w:rsid w:val="00D04371"/>
    <w:rsid w:val="00D04A70"/>
    <w:rsid w:val="00D050EC"/>
    <w:rsid w:val="00D051B0"/>
    <w:rsid w:val="00D056D2"/>
    <w:rsid w:val="00D05AD6"/>
    <w:rsid w:val="00D06296"/>
    <w:rsid w:val="00D06442"/>
    <w:rsid w:val="00D065D2"/>
    <w:rsid w:val="00D068A1"/>
    <w:rsid w:val="00D06ABE"/>
    <w:rsid w:val="00D07173"/>
    <w:rsid w:val="00D0753F"/>
    <w:rsid w:val="00D07D1A"/>
    <w:rsid w:val="00D10368"/>
    <w:rsid w:val="00D10673"/>
    <w:rsid w:val="00D10C99"/>
    <w:rsid w:val="00D11091"/>
    <w:rsid w:val="00D11E74"/>
    <w:rsid w:val="00D121D7"/>
    <w:rsid w:val="00D1372A"/>
    <w:rsid w:val="00D13F97"/>
    <w:rsid w:val="00D16232"/>
    <w:rsid w:val="00D163AE"/>
    <w:rsid w:val="00D1643F"/>
    <w:rsid w:val="00D16A25"/>
    <w:rsid w:val="00D16FED"/>
    <w:rsid w:val="00D1705A"/>
    <w:rsid w:val="00D1720E"/>
    <w:rsid w:val="00D20B04"/>
    <w:rsid w:val="00D21632"/>
    <w:rsid w:val="00D2245A"/>
    <w:rsid w:val="00D224A1"/>
    <w:rsid w:val="00D227E0"/>
    <w:rsid w:val="00D23A7F"/>
    <w:rsid w:val="00D23DD7"/>
    <w:rsid w:val="00D245FB"/>
    <w:rsid w:val="00D24A0A"/>
    <w:rsid w:val="00D25F03"/>
    <w:rsid w:val="00D2624B"/>
    <w:rsid w:val="00D2625B"/>
    <w:rsid w:val="00D2657F"/>
    <w:rsid w:val="00D26A7D"/>
    <w:rsid w:val="00D27440"/>
    <w:rsid w:val="00D27557"/>
    <w:rsid w:val="00D27CDF"/>
    <w:rsid w:val="00D3047D"/>
    <w:rsid w:val="00D30575"/>
    <w:rsid w:val="00D30AEC"/>
    <w:rsid w:val="00D30E77"/>
    <w:rsid w:val="00D31FAF"/>
    <w:rsid w:val="00D32BD5"/>
    <w:rsid w:val="00D33D76"/>
    <w:rsid w:val="00D3406F"/>
    <w:rsid w:val="00D34266"/>
    <w:rsid w:val="00D34B75"/>
    <w:rsid w:val="00D3532E"/>
    <w:rsid w:val="00D3546A"/>
    <w:rsid w:val="00D3558D"/>
    <w:rsid w:val="00D35926"/>
    <w:rsid w:val="00D3595E"/>
    <w:rsid w:val="00D3603E"/>
    <w:rsid w:val="00D375B7"/>
    <w:rsid w:val="00D40172"/>
    <w:rsid w:val="00D4040D"/>
    <w:rsid w:val="00D40BCE"/>
    <w:rsid w:val="00D413DB"/>
    <w:rsid w:val="00D4147C"/>
    <w:rsid w:val="00D41CC5"/>
    <w:rsid w:val="00D421C3"/>
    <w:rsid w:val="00D425B4"/>
    <w:rsid w:val="00D4273F"/>
    <w:rsid w:val="00D42C52"/>
    <w:rsid w:val="00D42E48"/>
    <w:rsid w:val="00D42FC0"/>
    <w:rsid w:val="00D43334"/>
    <w:rsid w:val="00D43483"/>
    <w:rsid w:val="00D43C5C"/>
    <w:rsid w:val="00D43EE0"/>
    <w:rsid w:val="00D44169"/>
    <w:rsid w:val="00D442EF"/>
    <w:rsid w:val="00D44759"/>
    <w:rsid w:val="00D44A96"/>
    <w:rsid w:val="00D45669"/>
    <w:rsid w:val="00D468F9"/>
    <w:rsid w:val="00D472C5"/>
    <w:rsid w:val="00D47501"/>
    <w:rsid w:val="00D47F28"/>
    <w:rsid w:val="00D505C5"/>
    <w:rsid w:val="00D51E76"/>
    <w:rsid w:val="00D52128"/>
    <w:rsid w:val="00D52176"/>
    <w:rsid w:val="00D5374B"/>
    <w:rsid w:val="00D539A0"/>
    <w:rsid w:val="00D53A09"/>
    <w:rsid w:val="00D545A7"/>
    <w:rsid w:val="00D549BE"/>
    <w:rsid w:val="00D54C20"/>
    <w:rsid w:val="00D55286"/>
    <w:rsid w:val="00D55DF9"/>
    <w:rsid w:val="00D55E11"/>
    <w:rsid w:val="00D560AF"/>
    <w:rsid w:val="00D566F4"/>
    <w:rsid w:val="00D569AC"/>
    <w:rsid w:val="00D6097F"/>
    <w:rsid w:val="00D60D22"/>
    <w:rsid w:val="00D60F74"/>
    <w:rsid w:val="00D62B82"/>
    <w:rsid w:val="00D63288"/>
    <w:rsid w:val="00D642BF"/>
    <w:rsid w:val="00D64433"/>
    <w:rsid w:val="00D64577"/>
    <w:rsid w:val="00D64694"/>
    <w:rsid w:val="00D64876"/>
    <w:rsid w:val="00D64AAF"/>
    <w:rsid w:val="00D64E6C"/>
    <w:rsid w:val="00D65787"/>
    <w:rsid w:val="00D65EF8"/>
    <w:rsid w:val="00D65FFD"/>
    <w:rsid w:val="00D664DD"/>
    <w:rsid w:val="00D6674F"/>
    <w:rsid w:val="00D667EE"/>
    <w:rsid w:val="00D66B55"/>
    <w:rsid w:val="00D66BD0"/>
    <w:rsid w:val="00D670AF"/>
    <w:rsid w:val="00D67EF9"/>
    <w:rsid w:val="00D701EF"/>
    <w:rsid w:val="00D70D67"/>
    <w:rsid w:val="00D718A9"/>
    <w:rsid w:val="00D720EB"/>
    <w:rsid w:val="00D7263A"/>
    <w:rsid w:val="00D72D66"/>
    <w:rsid w:val="00D72DA9"/>
    <w:rsid w:val="00D7305F"/>
    <w:rsid w:val="00D74855"/>
    <w:rsid w:val="00D7498C"/>
    <w:rsid w:val="00D75567"/>
    <w:rsid w:val="00D76325"/>
    <w:rsid w:val="00D76398"/>
    <w:rsid w:val="00D7687C"/>
    <w:rsid w:val="00D76D12"/>
    <w:rsid w:val="00D7738E"/>
    <w:rsid w:val="00D774EE"/>
    <w:rsid w:val="00D779B3"/>
    <w:rsid w:val="00D77BA1"/>
    <w:rsid w:val="00D77C9A"/>
    <w:rsid w:val="00D77CC9"/>
    <w:rsid w:val="00D803CE"/>
    <w:rsid w:val="00D80C85"/>
    <w:rsid w:val="00D819C7"/>
    <w:rsid w:val="00D81F37"/>
    <w:rsid w:val="00D826B9"/>
    <w:rsid w:val="00D829BE"/>
    <w:rsid w:val="00D829F7"/>
    <w:rsid w:val="00D83502"/>
    <w:rsid w:val="00D8385B"/>
    <w:rsid w:val="00D83936"/>
    <w:rsid w:val="00D83B7E"/>
    <w:rsid w:val="00D84575"/>
    <w:rsid w:val="00D84E98"/>
    <w:rsid w:val="00D85687"/>
    <w:rsid w:val="00D860F0"/>
    <w:rsid w:val="00D861EC"/>
    <w:rsid w:val="00D87894"/>
    <w:rsid w:val="00D87B0E"/>
    <w:rsid w:val="00D90775"/>
    <w:rsid w:val="00D9181B"/>
    <w:rsid w:val="00D91941"/>
    <w:rsid w:val="00D9244B"/>
    <w:rsid w:val="00D92A0C"/>
    <w:rsid w:val="00D92EEA"/>
    <w:rsid w:val="00D938D9"/>
    <w:rsid w:val="00D9447D"/>
    <w:rsid w:val="00D95342"/>
    <w:rsid w:val="00D95482"/>
    <w:rsid w:val="00D9557A"/>
    <w:rsid w:val="00D95775"/>
    <w:rsid w:val="00D95C8B"/>
    <w:rsid w:val="00D9677A"/>
    <w:rsid w:val="00D9683C"/>
    <w:rsid w:val="00D96983"/>
    <w:rsid w:val="00D96C1F"/>
    <w:rsid w:val="00D96DC7"/>
    <w:rsid w:val="00D96FA4"/>
    <w:rsid w:val="00D974BB"/>
    <w:rsid w:val="00D979FA"/>
    <w:rsid w:val="00D97EAA"/>
    <w:rsid w:val="00DA160A"/>
    <w:rsid w:val="00DA177D"/>
    <w:rsid w:val="00DA2243"/>
    <w:rsid w:val="00DA2334"/>
    <w:rsid w:val="00DA23C2"/>
    <w:rsid w:val="00DA2793"/>
    <w:rsid w:val="00DA3309"/>
    <w:rsid w:val="00DA35B7"/>
    <w:rsid w:val="00DA39A6"/>
    <w:rsid w:val="00DA3E81"/>
    <w:rsid w:val="00DA40E1"/>
    <w:rsid w:val="00DA4E8E"/>
    <w:rsid w:val="00DA5AA5"/>
    <w:rsid w:val="00DA6800"/>
    <w:rsid w:val="00DA6D82"/>
    <w:rsid w:val="00DA6DBF"/>
    <w:rsid w:val="00DA6DCE"/>
    <w:rsid w:val="00DA70AC"/>
    <w:rsid w:val="00DA7695"/>
    <w:rsid w:val="00DA7AB0"/>
    <w:rsid w:val="00DA7B12"/>
    <w:rsid w:val="00DA7F79"/>
    <w:rsid w:val="00DB00DC"/>
    <w:rsid w:val="00DB106F"/>
    <w:rsid w:val="00DB1089"/>
    <w:rsid w:val="00DB1256"/>
    <w:rsid w:val="00DB12A9"/>
    <w:rsid w:val="00DB147D"/>
    <w:rsid w:val="00DB1699"/>
    <w:rsid w:val="00DB1A37"/>
    <w:rsid w:val="00DB1A90"/>
    <w:rsid w:val="00DB1F62"/>
    <w:rsid w:val="00DB26FB"/>
    <w:rsid w:val="00DB335E"/>
    <w:rsid w:val="00DB3605"/>
    <w:rsid w:val="00DB378E"/>
    <w:rsid w:val="00DB3C7B"/>
    <w:rsid w:val="00DB42A7"/>
    <w:rsid w:val="00DB4930"/>
    <w:rsid w:val="00DB539F"/>
    <w:rsid w:val="00DB588E"/>
    <w:rsid w:val="00DB5936"/>
    <w:rsid w:val="00DB5EA4"/>
    <w:rsid w:val="00DB6190"/>
    <w:rsid w:val="00DB6D8C"/>
    <w:rsid w:val="00DB78D6"/>
    <w:rsid w:val="00DC03D9"/>
    <w:rsid w:val="00DC09DA"/>
    <w:rsid w:val="00DC0C5F"/>
    <w:rsid w:val="00DC15A5"/>
    <w:rsid w:val="00DC2201"/>
    <w:rsid w:val="00DC2230"/>
    <w:rsid w:val="00DC2718"/>
    <w:rsid w:val="00DC2EC2"/>
    <w:rsid w:val="00DC3C8F"/>
    <w:rsid w:val="00DC46B2"/>
    <w:rsid w:val="00DC4794"/>
    <w:rsid w:val="00DC4F9F"/>
    <w:rsid w:val="00DC54B6"/>
    <w:rsid w:val="00DC589A"/>
    <w:rsid w:val="00DC670F"/>
    <w:rsid w:val="00DC7C83"/>
    <w:rsid w:val="00DD0509"/>
    <w:rsid w:val="00DD090E"/>
    <w:rsid w:val="00DD0928"/>
    <w:rsid w:val="00DD11B2"/>
    <w:rsid w:val="00DD2488"/>
    <w:rsid w:val="00DD25EE"/>
    <w:rsid w:val="00DD27A1"/>
    <w:rsid w:val="00DD3023"/>
    <w:rsid w:val="00DD3100"/>
    <w:rsid w:val="00DD419F"/>
    <w:rsid w:val="00DD4306"/>
    <w:rsid w:val="00DD4834"/>
    <w:rsid w:val="00DD5439"/>
    <w:rsid w:val="00DD559A"/>
    <w:rsid w:val="00DD664A"/>
    <w:rsid w:val="00DD7D11"/>
    <w:rsid w:val="00DE0BD7"/>
    <w:rsid w:val="00DE0E13"/>
    <w:rsid w:val="00DE11EA"/>
    <w:rsid w:val="00DE15A2"/>
    <w:rsid w:val="00DE2273"/>
    <w:rsid w:val="00DE22D4"/>
    <w:rsid w:val="00DE2313"/>
    <w:rsid w:val="00DE2AD3"/>
    <w:rsid w:val="00DE2FB2"/>
    <w:rsid w:val="00DE4B11"/>
    <w:rsid w:val="00DE4E41"/>
    <w:rsid w:val="00DE4F47"/>
    <w:rsid w:val="00DE521C"/>
    <w:rsid w:val="00DE5366"/>
    <w:rsid w:val="00DE5461"/>
    <w:rsid w:val="00DE551E"/>
    <w:rsid w:val="00DE6656"/>
    <w:rsid w:val="00DE6830"/>
    <w:rsid w:val="00DE6C83"/>
    <w:rsid w:val="00DE7F9A"/>
    <w:rsid w:val="00DE7FC0"/>
    <w:rsid w:val="00DF02FB"/>
    <w:rsid w:val="00DF05E4"/>
    <w:rsid w:val="00DF06D4"/>
    <w:rsid w:val="00DF11C1"/>
    <w:rsid w:val="00DF140F"/>
    <w:rsid w:val="00DF1C4E"/>
    <w:rsid w:val="00DF1DF6"/>
    <w:rsid w:val="00DF2CA0"/>
    <w:rsid w:val="00DF2E0B"/>
    <w:rsid w:val="00DF30FF"/>
    <w:rsid w:val="00DF3141"/>
    <w:rsid w:val="00DF34D5"/>
    <w:rsid w:val="00DF396A"/>
    <w:rsid w:val="00DF6228"/>
    <w:rsid w:val="00DF654B"/>
    <w:rsid w:val="00DF6662"/>
    <w:rsid w:val="00DF6BBA"/>
    <w:rsid w:val="00DF6C5E"/>
    <w:rsid w:val="00DF7106"/>
    <w:rsid w:val="00DF7890"/>
    <w:rsid w:val="00DF78EB"/>
    <w:rsid w:val="00E00255"/>
    <w:rsid w:val="00E004AB"/>
    <w:rsid w:val="00E00862"/>
    <w:rsid w:val="00E009F5"/>
    <w:rsid w:val="00E011ED"/>
    <w:rsid w:val="00E023DF"/>
    <w:rsid w:val="00E02EF3"/>
    <w:rsid w:val="00E03314"/>
    <w:rsid w:val="00E0371C"/>
    <w:rsid w:val="00E04440"/>
    <w:rsid w:val="00E04E86"/>
    <w:rsid w:val="00E0517F"/>
    <w:rsid w:val="00E0534B"/>
    <w:rsid w:val="00E05B88"/>
    <w:rsid w:val="00E05D1A"/>
    <w:rsid w:val="00E05E86"/>
    <w:rsid w:val="00E064E0"/>
    <w:rsid w:val="00E067EB"/>
    <w:rsid w:val="00E06C78"/>
    <w:rsid w:val="00E07190"/>
    <w:rsid w:val="00E07896"/>
    <w:rsid w:val="00E07A2A"/>
    <w:rsid w:val="00E07F6F"/>
    <w:rsid w:val="00E1010F"/>
    <w:rsid w:val="00E10590"/>
    <w:rsid w:val="00E11535"/>
    <w:rsid w:val="00E11D04"/>
    <w:rsid w:val="00E126E7"/>
    <w:rsid w:val="00E13144"/>
    <w:rsid w:val="00E135CD"/>
    <w:rsid w:val="00E13D79"/>
    <w:rsid w:val="00E13F26"/>
    <w:rsid w:val="00E143FC"/>
    <w:rsid w:val="00E1458B"/>
    <w:rsid w:val="00E14984"/>
    <w:rsid w:val="00E14A86"/>
    <w:rsid w:val="00E14A8A"/>
    <w:rsid w:val="00E14BE3"/>
    <w:rsid w:val="00E14E5D"/>
    <w:rsid w:val="00E154FD"/>
    <w:rsid w:val="00E15736"/>
    <w:rsid w:val="00E15E17"/>
    <w:rsid w:val="00E1611D"/>
    <w:rsid w:val="00E16BDA"/>
    <w:rsid w:val="00E16F79"/>
    <w:rsid w:val="00E1735F"/>
    <w:rsid w:val="00E17508"/>
    <w:rsid w:val="00E175CB"/>
    <w:rsid w:val="00E20A9B"/>
    <w:rsid w:val="00E217C8"/>
    <w:rsid w:val="00E2197F"/>
    <w:rsid w:val="00E21A50"/>
    <w:rsid w:val="00E21FA1"/>
    <w:rsid w:val="00E223C4"/>
    <w:rsid w:val="00E22557"/>
    <w:rsid w:val="00E2287B"/>
    <w:rsid w:val="00E22A6C"/>
    <w:rsid w:val="00E22CA8"/>
    <w:rsid w:val="00E22FAA"/>
    <w:rsid w:val="00E2312C"/>
    <w:rsid w:val="00E2376F"/>
    <w:rsid w:val="00E23A8A"/>
    <w:rsid w:val="00E23DE4"/>
    <w:rsid w:val="00E23E63"/>
    <w:rsid w:val="00E23FE6"/>
    <w:rsid w:val="00E248A8"/>
    <w:rsid w:val="00E24AAC"/>
    <w:rsid w:val="00E24EC6"/>
    <w:rsid w:val="00E251FF"/>
    <w:rsid w:val="00E25659"/>
    <w:rsid w:val="00E25DF4"/>
    <w:rsid w:val="00E269D5"/>
    <w:rsid w:val="00E26A1D"/>
    <w:rsid w:val="00E271A4"/>
    <w:rsid w:val="00E2747B"/>
    <w:rsid w:val="00E274DF"/>
    <w:rsid w:val="00E305D4"/>
    <w:rsid w:val="00E314A5"/>
    <w:rsid w:val="00E314F7"/>
    <w:rsid w:val="00E31D4F"/>
    <w:rsid w:val="00E32250"/>
    <w:rsid w:val="00E32C39"/>
    <w:rsid w:val="00E333A2"/>
    <w:rsid w:val="00E333E6"/>
    <w:rsid w:val="00E33AD1"/>
    <w:rsid w:val="00E33E26"/>
    <w:rsid w:val="00E34063"/>
    <w:rsid w:val="00E345F6"/>
    <w:rsid w:val="00E348D8"/>
    <w:rsid w:val="00E34BE4"/>
    <w:rsid w:val="00E34DAC"/>
    <w:rsid w:val="00E35C54"/>
    <w:rsid w:val="00E35E60"/>
    <w:rsid w:val="00E36788"/>
    <w:rsid w:val="00E37034"/>
    <w:rsid w:val="00E40A46"/>
    <w:rsid w:val="00E40BD8"/>
    <w:rsid w:val="00E41132"/>
    <w:rsid w:val="00E415B6"/>
    <w:rsid w:val="00E4292B"/>
    <w:rsid w:val="00E436C0"/>
    <w:rsid w:val="00E44372"/>
    <w:rsid w:val="00E44935"/>
    <w:rsid w:val="00E44AAD"/>
    <w:rsid w:val="00E44FD4"/>
    <w:rsid w:val="00E45548"/>
    <w:rsid w:val="00E4559D"/>
    <w:rsid w:val="00E463D2"/>
    <w:rsid w:val="00E46416"/>
    <w:rsid w:val="00E46538"/>
    <w:rsid w:val="00E46596"/>
    <w:rsid w:val="00E469B6"/>
    <w:rsid w:val="00E46AAB"/>
    <w:rsid w:val="00E47E1B"/>
    <w:rsid w:val="00E5116A"/>
    <w:rsid w:val="00E51647"/>
    <w:rsid w:val="00E52DD1"/>
    <w:rsid w:val="00E52DE9"/>
    <w:rsid w:val="00E52F35"/>
    <w:rsid w:val="00E53D58"/>
    <w:rsid w:val="00E53E6B"/>
    <w:rsid w:val="00E54183"/>
    <w:rsid w:val="00E55EF9"/>
    <w:rsid w:val="00E56774"/>
    <w:rsid w:val="00E603B8"/>
    <w:rsid w:val="00E60E4D"/>
    <w:rsid w:val="00E61227"/>
    <w:rsid w:val="00E615A4"/>
    <w:rsid w:val="00E6168C"/>
    <w:rsid w:val="00E625C8"/>
    <w:rsid w:val="00E62733"/>
    <w:rsid w:val="00E62BA5"/>
    <w:rsid w:val="00E63466"/>
    <w:rsid w:val="00E63502"/>
    <w:rsid w:val="00E639D6"/>
    <w:rsid w:val="00E64B6C"/>
    <w:rsid w:val="00E6573D"/>
    <w:rsid w:val="00E66D5C"/>
    <w:rsid w:val="00E67062"/>
    <w:rsid w:val="00E6723D"/>
    <w:rsid w:val="00E70DC0"/>
    <w:rsid w:val="00E72ABD"/>
    <w:rsid w:val="00E730C2"/>
    <w:rsid w:val="00E7335D"/>
    <w:rsid w:val="00E73434"/>
    <w:rsid w:val="00E737F8"/>
    <w:rsid w:val="00E73AFF"/>
    <w:rsid w:val="00E7456F"/>
    <w:rsid w:val="00E746E0"/>
    <w:rsid w:val="00E74D74"/>
    <w:rsid w:val="00E75197"/>
    <w:rsid w:val="00E7549F"/>
    <w:rsid w:val="00E75ADF"/>
    <w:rsid w:val="00E75E78"/>
    <w:rsid w:val="00E75ED6"/>
    <w:rsid w:val="00E773D5"/>
    <w:rsid w:val="00E77B3B"/>
    <w:rsid w:val="00E77FFC"/>
    <w:rsid w:val="00E801D2"/>
    <w:rsid w:val="00E802DE"/>
    <w:rsid w:val="00E80508"/>
    <w:rsid w:val="00E8076C"/>
    <w:rsid w:val="00E80B08"/>
    <w:rsid w:val="00E80B98"/>
    <w:rsid w:val="00E80BC9"/>
    <w:rsid w:val="00E80EF5"/>
    <w:rsid w:val="00E82869"/>
    <w:rsid w:val="00E82F25"/>
    <w:rsid w:val="00E83259"/>
    <w:rsid w:val="00E83677"/>
    <w:rsid w:val="00E83F35"/>
    <w:rsid w:val="00E8469D"/>
    <w:rsid w:val="00E84CED"/>
    <w:rsid w:val="00E84D45"/>
    <w:rsid w:val="00E84EB0"/>
    <w:rsid w:val="00E85BFF"/>
    <w:rsid w:val="00E864C9"/>
    <w:rsid w:val="00E8745A"/>
    <w:rsid w:val="00E905D6"/>
    <w:rsid w:val="00E90BB7"/>
    <w:rsid w:val="00E91E7B"/>
    <w:rsid w:val="00E91E9A"/>
    <w:rsid w:val="00E923E9"/>
    <w:rsid w:val="00E928DD"/>
    <w:rsid w:val="00E92D51"/>
    <w:rsid w:val="00E92E83"/>
    <w:rsid w:val="00E93470"/>
    <w:rsid w:val="00E9423C"/>
    <w:rsid w:val="00E94715"/>
    <w:rsid w:val="00E947A0"/>
    <w:rsid w:val="00E94A58"/>
    <w:rsid w:val="00E94FD0"/>
    <w:rsid w:val="00E95060"/>
    <w:rsid w:val="00E95262"/>
    <w:rsid w:val="00E95971"/>
    <w:rsid w:val="00E95A8F"/>
    <w:rsid w:val="00E96FBA"/>
    <w:rsid w:val="00E97070"/>
    <w:rsid w:val="00E97B6A"/>
    <w:rsid w:val="00E97D85"/>
    <w:rsid w:val="00EA0090"/>
    <w:rsid w:val="00EA0227"/>
    <w:rsid w:val="00EA04D4"/>
    <w:rsid w:val="00EA06EB"/>
    <w:rsid w:val="00EA0FBA"/>
    <w:rsid w:val="00EA11F4"/>
    <w:rsid w:val="00EA165D"/>
    <w:rsid w:val="00EA1D6A"/>
    <w:rsid w:val="00EA1DA2"/>
    <w:rsid w:val="00EA238A"/>
    <w:rsid w:val="00EA3BF7"/>
    <w:rsid w:val="00EA3C46"/>
    <w:rsid w:val="00EA4123"/>
    <w:rsid w:val="00EA474E"/>
    <w:rsid w:val="00EA4B9E"/>
    <w:rsid w:val="00EA4CF9"/>
    <w:rsid w:val="00EA53F3"/>
    <w:rsid w:val="00EA554F"/>
    <w:rsid w:val="00EA5973"/>
    <w:rsid w:val="00EA5FFA"/>
    <w:rsid w:val="00EA6071"/>
    <w:rsid w:val="00EA63FD"/>
    <w:rsid w:val="00EA7038"/>
    <w:rsid w:val="00EA7D7B"/>
    <w:rsid w:val="00EB1239"/>
    <w:rsid w:val="00EB1F3D"/>
    <w:rsid w:val="00EB2428"/>
    <w:rsid w:val="00EB25A0"/>
    <w:rsid w:val="00EB28DE"/>
    <w:rsid w:val="00EB2DC0"/>
    <w:rsid w:val="00EB3FE7"/>
    <w:rsid w:val="00EB4B06"/>
    <w:rsid w:val="00EB5483"/>
    <w:rsid w:val="00EB5592"/>
    <w:rsid w:val="00EB5F67"/>
    <w:rsid w:val="00EB704E"/>
    <w:rsid w:val="00EB7365"/>
    <w:rsid w:val="00EB73BB"/>
    <w:rsid w:val="00EB7597"/>
    <w:rsid w:val="00EB7CB5"/>
    <w:rsid w:val="00EB7E50"/>
    <w:rsid w:val="00EC0248"/>
    <w:rsid w:val="00EC14AA"/>
    <w:rsid w:val="00EC1838"/>
    <w:rsid w:val="00EC1BEC"/>
    <w:rsid w:val="00EC1EA1"/>
    <w:rsid w:val="00EC2503"/>
    <w:rsid w:val="00EC2EBA"/>
    <w:rsid w:val="00EC40BD"/>
    <w:rsid w:val="00EC4801"/>
    <w:rsid w:val="00EC4835"/>
    <w:rsid w:val="00EC504B"/>
    <w:rsid w:val="00EC5510"/>
    <w:rsid w:val="00EC63C1"/>
    <w:rsid w:val="00EC63DB"/>
    <w:rsid w:val="00EC69B5"/>
    <w:rsid w:val="00EC69BD"/>
    <w:rsid w:val="00EC6CDC"/>
    <w:rsid w:val="00EC70F6"/>
    <w:rsid w:val="00EC72B4"/>
    <w:rsid w:val="00EC7BCB"/>
    <w:rsid w:val="00ED0B86"/>
    <w:rsid w:val="00ED0BE7"/>
    <w:rsid w:val="00ED1364"/>
    <w:rsid w:val="00ED18CD"/>
    <w:rsid w:val="00ED1CCE"/>
    <w:rsid w:val="00ED2A79"/>
    <w:rsid w:val="00ED3126"/>
    <w:rsid w:val="00ED32BA"/>
    <w:rsid w:val="00ED4723"/>
    <w:rsid w:val="00ED5965"/>
    <w:rsid w:val="00ED5C2F"/>
    <w:rsid w:val="00ED6026"/>
    <w:rsid w:val="00ED64A7"/>
    <w:rsid w:val="00ED6CCF"/>
    <w:rsid w:val="00ED7864"/>
    <w:rsid w:val="00EE0C2E"/>
    <w:rsid w:val="00EE0EEA"/>
    <w:rsid w:val="00EE12B4"/>
    <w:rsid w:val="00EE1577"/>
    <w:rsid w:val="00EE1DB9"/>
    <w:rsid w:val="00EE1EFA"/>
    <w:rsid w:val="00EE24FA"/>
    <w:rsid w:val="00EE2616"/>
    <w:rsid w:val="00EE29C2"/>
    <w:rsid w:val="00EE3304"/>
    <w:rsid w:val="00EE425F"/>
    <w:rsid w:val="00EE50F6"/>
    <w:rsid w:val="00EE5104"/>
    <w:rsid w:val="00EE51E1"/>
    <w:rsid w:val="00EE7391"/>
    <w:rsid w:val="00EE7449"/>
    <w:rsid w:val="00EE79B4"/>
    <w:rsid w:val="00EF217D"/>
    <w:rsid w:val="00EF29B8"/>
    <w:rsid w:val="00EF327D"/>
    <w:rsid w:val="00EF33E9"/>
    <w:rsid w:val="00EF3979"/>
    <w:rsid w:val="00EF3EB6"/>
    <w:rsid w:val="00EF3F14"/>
    <w:rsid w:val="00EF4366"/>
    <w:rsid w:val="00EF4479"/>
    <w:rsid w:val="00EF51E4"/>
    <w:rsid w:val="00EF5802"/>
    <w:rsid w:val="00EF5B82"/>
    <w:rsid w:val="00EF6ACE"/>
    <w:rsid w:val="00EF6E79"/>
    <w:rsid w:val="00EF707E"/>
    <w:rsid w:val="00EF79BE"/>
    <w:rsid w:val="00EF7DCD"/>
    <w:rsid w:val="00EF7FA6"/>
    <w:rsid w:val="00EF7FB8"/>
    <w:rsid w:val="00F00957"/>
    <w:rsid w:val="00F00DC7"/>
    <w:rsid w:val="00F01059"/>
    <w:rsid w:val="00F0140C"/>
    <w:rsid w:val="00F01A15"/>
    <w:rsid w:val="00F0226E"/>
    <w:rsid w:val="00F0254F"/>
    <w:rsid w:val="00F027B6"/>
    <w:rsid w:val="00F02D50"/>
    <w:rsid w:val="00F02E06"/>
    <w:rsid w:val="00F03AE9"/>
    <w:rsid w:val="00F04456"/>
    <w:rsid w:val="00F0582B"/>
    <w:rsid w:val="00F05B8A"/>
    <w:rsid w:val="00F06215"/>
    <w:rsid w:val="00F07092"/>
    <w:rsid w:val="00F073C1"/>
    <w:rsid w:val="00F07B9F"/>
    <w:rsid w:val="00F101F4"/>
    <w:rsid w:val="00F103A4"/>
    <w:rsid w:val="00F106A1"/>
    <w:rsid w:val="00F107C9"/>
    <w:rsid w:val="00F111DE"/>
    <w:rsid w:val="00F11290"/>
    <w:rsid w:val="00F11ADD"/>
    <w:rsid w:val="00F12567"/>
    <w:rsid w:val="00F12E19"/>
    <w:rsid w:val="00F13C81"/>
    <w:rsid w:val="00F144BE"/>
    <w:rsid w:val="00F14EAF"/>
    <w:rsid w:val="00F15612"/>
    <w:rsid w:val="00F15765"/>
    <w:rsid w:val="00F15F02"/>
    <w:rsid w:val="00F162BF"/>
    <w:rsid w:val="00F16372"/>
    <w:rsid w:val="00F16DD0"/>
    <w:rsid w:val="00F173EA"/>
    <w:rsid w:val="00F175B7"/>
    <w:rsid w:val="00F177FA"/>
    <w:rsid w:val="00F20016"/>
    <w:rsid w:val="00F20517"/>
    <w:rsid w:val="00F208F9"/>
    <w:rsid w:val="00F20D59"/>
    <w:rsid w:val="00F20D98"/>
    <w:rsid w:val="00F21703"/>
    <w:rsid w:val="00F2181E"/>
    <w:rsid w:val="00F21D69"/>
    <w:rsid w:val="00F21FD4"/>
    <w:rsid w:val="00F22006"/>
    <w:rsid w:val="00F220C6"/>
    <w:rsid w:val="00F2290E"/>
    <w:rsid w:val="00F22C43"/>
    <w:rsid w:val="00F22E8C"/>
    <w:rsid w:val="00F22F7D"/>
    <w:rsid w:val="00F23845"/>
    <w:rsid w:val="00F23AFC"/>
    <w:rsid w:val="00F255EC"/>
    <w:rsid w:val="00F25798"/>
    <w:rsid w:val="00F264F1"/>
    <w:rsid w:val="00F268CA"/>
    <w:rsid w:val="00F26BAB"/>
    <w:rsid w:val="00F27552"/>
    <w:rsid w:val="00F27B28"/>
    <w:rsid w:val="00F27BC7"/>
    <w:rsid w:val="00F30254"/>
    <w:rsid w:val="00F30D76"/>
    <w:rsid w:val="00F30E51"/>
    <w:rsid w:val="00F31660"/>
    <w:rsid w:val="00F31A15"/>
    <w:rsid w:val="00F3280E"/>
    <w:rsid w:val="00F329E8"/>
    <w:rsid w:val="00F33A3A"/>
    <w:rsid w:val="00F3468C"/>
    <w:rsid w:val="00F34DFD"/>
    <w:rsid w:val="00F358BC"/>
    <w:rsid w:val="00F36DC6"/>
    <w:rsid w:val="00F3701B"/>
    <w:rsid w:val="00F37218"/>
    <w:rsid w:val="00F379E5"/>
    <w:rsid w:val="00F37D77"/>
    <w:rsid w:val="00F40170"/>
    <w:rsid w:val="00F403A1"/>
    <w:rsid w:val="00F40686"/>
    <w:rsid w:val="00F40A89"/>
    <w:rsid w:val="00F40BE8"/>
    <w:rsid w:val="00F40C96"/>
    <w:rsid w:val="00F41018"/>
    <w:rsid w:val="00F416D9"/>
    <w:rsid w:val="00F41851"/>
    <w:rsid w:val="00F42165"/>
    <w:rsid w:val="00F4261F"/>
    <w:rsid w:val="00F42C3B"/>
    <w:rsid w:val="00F431D3"/>
    <w:rsid w:val="00F433BC"/>
    <w:rsid w:val="00F43AB9"/>
    <w:rsid w:val="00F445BA"/>
    <w:rsid w:val="00F44BC4"/>
    <w:rsid w:val="00F453CA"/>
    <w:rsid w:val="00F458E7"/>
    <w:rsid w:val="00F45A09"/>
    <w:rsid w:val="00F45D1C"/>
    <w:rsid w:val="00F4686D"/>
    <w:rsid w:val="00F4692C"/>
    <w:rsid w:val="00F50320"/>
    <w:rsid w:val="00F5057D"/>
    <w:rsid w:val="00F5074A"/>
    <w:rsid w:val="00F510DA"/>
    <w:rsid w:val="00F51468"/>
    <w:rsid w:val="00F51DDA"/>
    <w:rsid w:val="00F523CF"/>
    <w:rsid w:val="00F5254D"/>
    <w:rsid w:val="00F53CF8"/>
    <w:rsid w:val="00F54021"/>
    <w:rsid w:val="00F545B3"/>
    <w:rsid w:val="00F549D0"/>
    <w:rsid w:val="00F5582A"/>
    <w:rsid w:val="00F56999"/>
    <w:rsid w:val="00F573BE"/>
    <w:rsid w:val="00F57B21"/>
    <w:rsid w:val="00F612C6"/>
    <w:rsid w:val="00F62725"/>
    <w:rsid w:val="00F62B0A"/>
    <w:rsid w:val="00F62C31"/>
    <w:rsid w:val="00F62F5F"/>
    <w:rsid w:val="00F634C0"/>
    <w:rsid w:val="00F63FF2"/>
    <w:rsid w:val="00F6413C"/>
    <w:rsid w:val="00F642BA"/>
    <w:rsid w:val="00F64416"/>
    <w:rsid w:val="00F64CC4"/>
    <w:rsid w:val="00F65249"/>
    <w:rsid w:val="00F65468"/>
    <w:rsid w:val="00F6593A"/>
    <w:rsid w:val="00F66140"/>
    <w:rsid w:val="00F66C0F"/>
    <w:rsid w:val="00F66DC2"/>
    <w:rsid w:val="00F67003"/>
    <w:rsid w:val="00F67043"/>
    <w:rsid w:val="00F677FA"/>
    <w:rsid w:val="00F67B3D"/>
    <w:rsid w:val="00F7046A"/>
    <w:rsid w:val="00F70EA9"/>
    <w:rsid w:val="00F70F14"/>
    <w:rsid w:val="00F722BC"/>
    <w:rsid w:val="00F72A79"/>
    <w:rsid w:val="00F72BF7"/>
    <w:rsid w:val="00F73687"/>
    <w:rsid w:val="00F742D8"/>
    <w:rsid w:val="00F746D7"/>
    <w:rsid w:val="00F74B75"/>
    <w:rsid w:val="00F74B94"/>
    <w:rsid w:val="00F75648"/>
    <w:rsid w:val="00F75995"/>
    <w:rsid w:val="00F761FC"/>
    <w:rsid w:val="00F76980"/>
    <w:rsid w:val="00F76DE1"/>
    <w:rsid w:val="00F7710E"/>
    <w:rsid w:val="00F77660"/>
    <w:rsid w:val="00F77681"/>
    <w:rsid w:val="00F77754"/>
    <w:rsid w:val="00F8126D"/>
    <w:rsid w:val="00F819B9"/>
    <w:rsid w:val="00F81A23"/>
    <w:rsid w:val="00F82902"/>
    <w:rsid w:val="00F82A6C"/>
    <w:rsid w:val="00F82B32"/>
    <w:rsid w:val="00F82C23"/>
    <w:rsid w:val="00F82D6E"/>
    <w:rsid w:val="00F84AB8"/>
    <w:rsid w:val="00F84EEA"/>
    <w:rsid w:val="00F8514F"/>
    <w:rsid w:val="00F85282"/>
    <w:rsid w:val="00F85301"/>
    <w:rsid w:val="00F8537C"/>
    <w:rsid w:val="00F85738"/>
    <w:rsid w:val="00F8649D"/>
    <w:rsid w:val="00F86CAB"/>
    <w:rsid w:val="00F872D9"/>
    <w:rsid w:val="00F8739C"/>
    <w:rsid w:val="00F87F9B"/>
    <w:rsid w:val="00F9040B"/>
    <w:rsid w:val="00F9078B"/>
    <w:rsid w:val="00F9081E"/>
    <w:rsid w:val="00F909B3"/>
    <w:rsid w:val="00F90C84"/>
    <w:rsid w:val="00F90FFE"/>
    <w:rsid w:val="00F91CE9"/>
    <w:rsid w:val="00F9243E"/>
    <w:rsid w:val="00F92BCA"/>
    <w:rsid w:val="00F92E3B"/>
    <w:rsid w:val="00F93256"/>
    <w:rsid w:val="00F937A2"/>
    <w:rsid w:val="00F94685"/>
    <w:rsid w:val="00F95A24"/>
    <w:rsid w:val="00F95C8E"/>
    <w:rsid w:val="00F965A7"/>
    <w:rsid w:val="00F96A2A"/>
    <w:rsid w:val="00F97021"/>
    <w:rsid w:val="00F97B97"/>
    <w:rsid w:val="00F97BA8"/>
    <w:rsid w:val="00FA0A23"/>
    <w:rsid w:val="00FA0BD7"/>
    <w:rsid w:val="00FA14D0"/>
    <w:rsid w:val="00FA1D3B"/>
    <w:rsid w:val="00FA2487"/>
    <w:rsid w:val="00FA27F5"/>
    <w:rsid w:val="00FA3427"/>
    <w:rsid w:val="00FA3C2A"/>
    <w:rsid w:val="00FA440E"/>
    <w:rsid w:val="00FA4AB1"/>
    <w:rsid w:val="00FA5113"/>
    <w:rsid w:val="00FA5DA4"/>
    <w:rsid w:val="00FA6AB2"/>
    <w:rsid w:val="00FA6DAB"/>
    <w:rsid w:val="00FA7474"/>
    <w:rsid w:val="00FA7635"/>
    <w:rsid w:val="00FA7E8B"/>
    <w:rsid w:val="00FB05CE"/>
    <w:rsid w:val="00FB1A6C"/>
    <w:rsid w:val="00FB1CF5"/>
    <w:rsid w:val="00FB2EFB"/>
    <w:rsid w:val="00FB3163"/>
    <w:rsid w:val="00FB3690"/>
    <w:rsid w:val="00FB3B52"/>
    <w:rsid w:val="00FB46B3"/>
    <w:rsid w:val="00FB510E"/>
    <w:rsid w:val="00FB5847"/>
    <w:rsid w:val="00FB58AF"/>
    <w:rsid w:val="00FB5A64"/>
    <w:rsid w:val="00FB60F2"/>
    <w:rsid w:val="00FB6479"/>
    <w:rsid w:val="00FB65FD"/>
    <w:rsid w:val="00FB6679"/>
    <w:rsid w:val="00FB74C1"/>
    <w:rsid w:val="00FB7EB6"/>
    <w:rsid w:val="00FC0407"/>
    <w:rsid w:val="00FC0530"/>
    <w:rsid w:val="00FC0A68"/>
    <w:rsid w:val="00FC1C1A"/>
    <w:rsid w:val="00FC1F99"/>
    <w:rsid w:val="00FC2030"/>
    <w:rsid w:val="00FC21DF"/>
    <w:rsid w:val="00FC339F"/>
    <w:rsid w:val="00FC4625"/>
    <w:rsid w:val="00FC51FF"/>
    <w:rsid w:val="00FC5BC1"/>
    <w:rsid w:val="00FC6B8A"/>
    <w:rsid w:val="00FC6E2B"/>
    <w:rsid w:val="00FC7BAD"/>
    <w:rsid w:val="00FC7D67"/>
    <w:rsid w:val="00FD0289"/>
    <w:rsid w:val="00FD0484"/>
    <w:rsid w:val="00FD05CA"/>
    <w:rsid w:val="00FD05F9"/>
    <w:rsid w:val="00FD0BFB"/>
    <w:rsid w:val="00FD0FA3"/>
    <w:rsid w:val="00FD1105"/>
    <w:rsid w:val="00FD1357"/>
    <w:rsid w:val="00FD168A"/>
    <w:rsid w:val="00FD2909"/>
    <w:rsid w:val="00FD2DAD"/>
    <w:rsid w:val="00FD3253"/>
    <w:rsid w:val="00FD44B4"/>
    <w:rsid w:val="00FD4939"/>
    <w:rsid w:val="00FD4B3E"/>
    <w:rsid w:val="00FD5C27"/>
    <w:rsid w:val="00FD5D36"/>
    <w:rsid w:val="00FD677F"/>
    <w:rsid w:val="00FD6EDC"/>
    <w:rsid w:val="00FD7465"/>
    <w:rsid w:val="00FD7563"/>
    <w:rsid w:val="00FE1969"/>
    <w:rsid w:val="00FE1AD0"/>
    <w:rsid w:val="00FE1BAE"/>
    <w:rsid w:val="00FE2508"/>
    <w:rsid w:val="00FE33F6"/>
    <w:rsid w:val="00FE38C1"/>
    <w:rsid w:val="00FE3EEB"/>
    <w:rsid w:val="00FE4375"/>
    <w:rsid w:val="00FE459B"/>
    <w:rsid w:val="00FE45C1"/>
    <w:rsid w:val="00FE4745"/>
    <w:rsid w:val="00FE4E32"/>
    <w:rsid w:val="00FE6E25"/>
    <w:rsid w:val="00FE753C"/>
    <w:rsid w:val="00FF024E"/>
    <w:rsid w:val="00FF0894"/>
    <w:rsid w:val="00FF0E65"/>
    <w:rsid w:val="00FF1017"/>
    <w:rsid w:val="00FF11D8"/>
    <w:rsid w:val="00FF159D"/>
    <w:rsid w:val="00FF1D5C"/>
    <w:rsid w:val="00FF20C3"/>
    <w:rsid w:val="00FF2869"/>
    <w:rsid w:val="00FF2981"/>
    <w:rsid w:val="00FF3083"/>
    <w:rsid w:val="00FF349E"/>
    <w:rsid w:val="00FF4546"/>
    <w:rsid w:val="00FF4918"/>
    <w:rsid w:val="00FF4A4E"/>
    <w:rsid w:val="00FF53B4"/>
    <w:rsid w:val="00FF5D90"/>
    <w:rsid w:val="00FF64E3"/>
    <w:rsid w:val="4DBC36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2332"/>
    <w:pPr>
      <w:widowControl w:val="0"/>
      <w:spacing w:line="400" w:lineRule="exact"/>
      <w:jc w:val="both"/>
    </w:pPr>
    <w:rPr>
      <w:rFonts w:ascii="Times New Roman" w:hAnsi="Times New Roman"/>
      <w:kern w:val="2"/>
      <w:sz w:val="30"/>
      <w:szCs w:val="24"/>
    </w:rPr>
  </w:style>
  <w:style w:type="paragraph" w:styleId="1">
    <w:name w:val="heading 1"/>
    <w:basedOn w:val="a1"/>
    <w:next w:val="a1"/>
    <w:link w:val="1Char"/>
    <w:qFormat/>
    <w:rsid w:val="00512332"/>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qFormat/>
    <w:rsid w:val="00512332"/>
    <w:pPr>
      <w:keepNext/>
      <w:keepLines/>
      <w:spacing w:before="260" w:after="260" w:line="416" w:lineRule="auto"/>
      <w:outlineLvl w:val="1"/>
    </w:pPr>
    <w:rPr>
      <w:rFonts w:ascii="Arial" w:eastAsia="黑体" w:hAnsi="Arial"/>
      <w:b/>
      <w:bCs/>
      <w:kern w:val="0"/>
      <w:sz w:val="32"/>
      <w:szCs w:val="32"/>
    </w:rPr>
  </w:style>
  <w:style w:type="paragraph" w:styleId="3">
    <w:name w:val="heading 3"/>
    <w:basedOn w:val="a1"/>
    <w:next w:val="a1"/>
    <w:link w:val="3Char"/>
    <w:uiPriority w:val="9"/>
    <w:qFormat/>
    <w:rsid w:val="00512332"/>
    <w:pPr>
      <w:keepNext/>
      <w:keepLines/>
      <w:spacing w:before="260" w:after="260" w:line="416" w:lineRule="auto"/>
      <w:outlineLvl w:val="2"/>
    </w:pPr>
    <w:rPr>
      <w:b/>
      <w:bCs/>
      <w:spacing w:val="10"/>
      <w:kern w:val="0"/>
      <w:szCs w:val="32"/>
    </w:rPr>
  </w:style>
  <w:style w:type="paragraph" w:styleId="4">
    <w:name w:val="heading 4"/>
    <w:basedOn w:val="a1"/>
    <w:next w:val="a1"/>
    <w:link w:val="4Char"/>
    <w:qFormat/>
    <w:rsid w:val="00512332"/>
    <w:pPr>
      <w:wordWrap w:val="0"/>
      <w:spacing w:beforeLines="50"/>
      <w:jc w:val="left"/>
      <w:outlineLvl w:val="3"/>
    </w:pPr>
    <w:rPr>
      <w:bCs/>
      <w:kern w:val="0"/>
      <w:szCs w:val="28"/>
    </w:rPr>
  </w:style>
  <w:style w:type="paragraph" w:styleId="5">
    <w:name w:val="heading 5"/>
    <w:basedOn w:val="a1"/>
    <w:next w:val="a1"/>
    <w:link w:val="5Char"/>
    <w:qFormat/>
    <w:rsid w:val="00512332"/>
    <w:pPr>
      <w:keepNext/>
      <w:adjustRightInd w:val="0"/>
      <w:snapToGrid w:val="0"/>
      <w:spacing w:line="240" w:lineRule="auto"/>
      <w:jc w:val="right"/>
      <w:outlineLvl w:val="4"/>
    </w:pPr>
    <w:rPr>
      <w:b/>
      <w:bCs/>
      <w:sz w:val="44"/>
    </w:rPr>
  </w:style>
  <w:style w:type="paragraph" w:styleId="6">
    <w:name w:val="heading 6"/>
    <w:basedOn w:val="a1"/>
    <w:next w:val="a1"/>
    <w:link w:val="6Char"/>
    <w:qFormat/>
    <w:rsid w:val="00512332"/>
    <w:pPr>
      <w:keepNext/>
      <w:adjustRightInd w:val="0"/>
      <w:snapToGrid w:val="0"/>
      <w:spacing w:line="240" w:lineRule="auto"/>
      <w:jc w:val="center"/>
      <w:outlineLvl w:val="5"/>
    </w:pPr>
    <w:rPr>
      <w:bCs/>
      <w:i/>
      <w:iCs/>
      <w:sz w:val="16"/>
    </w:rPr>
  </w:style>
  <w:style w:type="paragraph" w:styleId="7">
    <w:name w:val="heading 7"/>
    <w:basedOn w:val="a1"/>
    <w:next w:val="a1"/>
    <w:link w:val="7Char"/>
    <w:qFormat/>
    <w:rsid w:val="00512332"/>
    <w:pPr>
      <w:keepNext/>
      <w:adjustRightInd w:val="0"/>
      <w:snapToGrid w:val="0"/>
      <w:spacing w:line="240" w:lineRule="auto"/>
      <w:ind w:leftChars="-50" w:left="-105" w:rightChars="-50" w:right="-105"/>
      <w:jc w:val="center"/>
      <w:outlineLvl w:val="6"/>
    </w:pPr>
    <w:rPr>
      <w:bCs/>
      <w:i/>
      <w:iCs/>
      <w:sz w:val="16"/>
    </w:rPr>
  </w:style>
  <w:style w:type="paragraph" w:styleId="8">
    <w:name w:val="heading 8"/>
    <w:basedOn w:val="a1"/>
    <w:next w:val="a1"/>
    <w:link w:val="8Char"/>
    <w:qFormat/>
    <w:rsid w:val="00512332"/>
    <w:pPr>
      <w:keepNext/>
      <w:adjustRightInd w:val="0"/>
      <w:snapToGrid w:val="0"/>
      <w:spacing w:line="240" w:lineRule="auto"/>
      <w:jc w:val="center"/>
      <w:outlineLvl w:val="7"/>
    </w:pPr>
    <w:rPr>
      <w:rFonts w:eastAsia="黑体"/>
      <w:b/>
      <w:bCs/>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rsid w:val="00512332"/>
    <w:rPr>
      <w:b/>
      <w:bCs/>
    </w:rPr>
  </w:style>
  <w:style w:type="paragraph" w:styleId="a6">
    <w:name w:val="annotation text"/>
    <w:basedOn w:val="a1"/>
    <w:link w:val="Char0"/>
    <w:uiPriority w:val="99"/>
    <w:unhideWhenUsed/>
    <w:rsid w:val="00512332"/>
    <w:pPr>
      <w:jc w:val="left"/>
    </w:pPr>
    <w:rPr>
      <w:kern w:val="0"/>
      <w:sz w:val="24"/>
    </w:rPr>
  </w:style>
  <w:style w:type="paragraph" w:styleId="70">
    <w:name w:val="toc 7"/>
    <w:basedOn w:val="a1"/>
    <w:next w:val="a1"/>
    <w:uiPriority w:val="39"/>
    <w:unhideWhenUsed/>
    <w:rsid w:val="00512332"/>
    <w:pPr>
      <w:ind w:leftChars="1200" w:left="2520"/>
    </w:pPr>
    <w:rPr>
      <w:rFonts w:ascii="Calibri" w:hAnsi="Calibri"/>
      <w:sz w:val="21"/>
      <w:szCs w:val="22"/>
    </w:rPr>
  </w:style>
  <w:style w:type="paragraph" w:styleId="a7">
    <w:name w:val="caption"/>
    <w:basedOn w:val="a1"/>
    <w:next w:val="a1"/>
    <w:qFormat/>
    <w:rsid w:val="00512332"/>
    <w:rPr>
      <w:rFonts w:ascii="Cambria" w:eastAsia="黑体" w:hAnsi="Cambria"/>
      <w:sz w:val="20"/>
      <w:szCs w:val="20"/>
    </w:rPr>
  </w:style>
  <w:style w:type="paragraph" w:styleId="a8">
    <w:name w:val="Document Map"/>
    <w:basedOn w:val="a1"/>
    <w:link w:val="Char1"/>
    <w:uiPriority w:val="99"/>
    <w:qFormat/>
    <w:rsid w:val="00512332"/>
    <w:pPr>
      <w:shd w:val="clear" w:color="auto" w:fill="000080"/>
    </w:pPr>
    <w:rPr>
      <w:rFonts w:ascii="Calibri" w:hAnsi="Calibri"/>
      <w:kern w:val="0"/>
      <w:sz w:val="20"/>
    </w:rPr>
  </w:style>
  <w:style w:type="paragraph" w:styleId="a9">
    <w:name w:val="Body Text"/>
    <w:basedOn w:val="a1"/>
    <w:link w:val="Char2"/>
    <w:qFormat/>
    <w:rsid w:val="00512332"/>
    <w:pPr>
      <w:adjustRightInd w:val="0"/>
      <w:spacing w:line="360" w:lineRule="auto"/>
      <w:ind w:firstLine="440"/>
      <w:jc w:val="left"/>
      <w:textAlignment w:val="baseline"/>
    </w:pPr>
    <w:rPr>
      <w:kern w:val="0"/>
      <w:sz w:val="24"/>
      <w:szCs w:val="20"/>
    </w:rPr>
  </w:style>
  <w:style w:type="paragraph" w:styleId="aa">
    <w:name w:val="Body Text Indent"/>
    <w:basedOn w:val="a1"/>
    <w:link w:val="Char3"/>
    <w:qFormat/>
    <w:rsid w:val="00512332"/>
    <w:pPr>
      <w:ind w:firstLineChars="200" w:firstLine="420"/>
    </w:pPr>
    <w:rPr>
      <w:rFonts w:ascii="Calibri" w:hAnsi="Calibri"/>
      <w:kern w:val="0"/>
      <w:sz w:val="20"/>
    </w:rPr>
  </w:style>
  <w:style w:type="paragraph" w:styleId="ab">
    <w:name w:val="Block Text"/>
    <w:basedOn w:val="a1"/>
    <w:rsid w:val="00512332"/>
    <w:pPr>
      <w:adjustRightInd w:val="0"/>
      <w:snapToGrid w:val="0"/>
      <w:spacing w:line="240" w:lineRule="auto"/>
      <w:ind w:leftChars="-50" w:left="-105" w:rightChars="-50" w:right="-105"/>
      <w:jc w:val="center"/>
    </w:pPr>
    <w:rPr>
      <w:bCs/>
      <w:sz w:val="16"/>
    </w:rPr>
  </w:style>
  <w:style w:type="paragraph" w:styleId="50">
    <w:name w:val="toc 5"/>
    <w:basedOn w:val="a1"/>
    <w:next w:val="a1"/>
    <w:uiPriority w:val="39"/>
    <w:unhideWhenUsed/>
    <w:rsid w:val="00512332"/>
    <w:pPr>
      <w:ind w:leftChars="800" w:left="1680"/>
    </w:pPr>
    <w:rPr>
      <w:rFonts w:ascii="Calibri" w:hAnsi="Calibri"/>
      <w:sz w:val="21"/>
      <w:szCs w:val="22"/>
    </w:rPr>
  </w:style>
  <w:style w:type="paragraph" w:styleId="30">
    <w:name w:val="toc 3"/>
    <w:basedOn w:val="a1"/>
    <w:next w:val="a1"/>
    <w:uiPriority w:val="39"/>
    <w:unhideWhenUsed/>
    <w:qFormat/>
    <w:rsid w:val="00512332"/>
    <w:pPr>
      <w:widowControl/>
      <w:tabs>
        <w:tab w:val="right" w:leader="dot" w:pos="8834"/>
      </w:tabs>
      <w:spacing w:after="100"/>
      <w:ind w:left="440"/>
      <w:jc w:val="left"/>
    </w:pPr>
    <w:rPr>
      <w:rFonts w:ascii="Calibri" w:hAnsi="Calibri"/>
      <w:kern w:val="0"/>
      <w:szCs w:val="22"/>
    </w:rPr>
  </w:style>
  <w:style w:type="paragraph" w:styleId="ac">
    <w:name w:val="Plain Text"/>
    <w:basedOn w:val="a1"/>
    <w:link w:val="Char4"/>
    <w:qFormat/>
    <w:rsid w:val="00512332"/>
    <w:pPr>
      <w:widowControl/>
      <w:spacing w:before="100" w:beforeAutospacing="1" w:after="100" w:afterAutospacing="1" w:line="240" w:lineRule="auto"/>
      <w:jc w:val="left"/>
    </w:pPr>
    <w:rPr>
      <w:rFonts w:ascii="宋体" w:hAnsi="宋体"/>
      <w:kern w:val="0"/>
      <w:sz w:val="24"/>
    </w:rPr>
  </w:style>
  <w:style w:type="paragraph" w:styleId="80">
    <w:name w:val="toc 8"/>
    <w:basedOn w:val="a1"/>
    <w:next w:val="a1"/>
    <w:uiPriority w:val="39"/>
    <w:unhideWhenUsed/>
    <w:rsid w:val="00512332"/>
    <w:pPr>
      <w:ind w:leftChars="1400" w:left="2940"/>
    </w:pPr>
    <w:rPr>
      <w:rFonts w:ascii="Calibri" w:hAnsi="Calibri"/>
      <w:sz w:val="21"/>
      <w:szCs w:val="22"/>
    </w:rPr>
  </w:style>
  <w:style w:type="paragraph" w:styleId="ad">
    <w:name w:val="Date"/>
    <w:basedOn w:val="a1"/>
    <w:next w:val="a1"/>
    <w:link w:val="Char5"/>
    <w:uiPriority w:val="99"/>
    <w:qFormat/>
    <w:rsid w:val="00512332"/>
    <w:pPr>
      <w:widowControl/>
    </w:pPr>
    <w:rPr>
      <w:rFonts w:ascii="Calibri" w:hAnsi="Calibri"/>
      <w:kern w:val="0"/>
      <w:sz w:val="24"/>
      <w:szCs w:val="20"/>
    </w:rPr>
  </w:style>
  <w:style w:type="paragraph" w:styleId="20">
    <w:name w:val="Body Text Indent 2"/>
    <w:basedOn w:val="a1"/>
    <w:link w:val="2Char0"/>
    <w:qFormat/>
    <w:rsid w:val="00512332"/>
    <w:pPr>
      <w:tabs>
        <w:tab w:val="left" w:pos="2625"/>
      </w:tabs>
      <w:autoSpaceDE w:val="0"/>
      <w:autoSpaceDN w:val="0"/>
      <w:ind w:firstLine="480"/>
      <w:textAlignment w:val="bottom"/>
    </w:pPr>
    <w:rPr>
      <w:rFonts w:ascii="Calibri" w:hAnsi="Calibri"/>
      <w:kern w:val="0"/>
      <w:sz w:val="20"/>
    </w:rPr>
  </w:style>
  <w:style w:type="paragraph" w:styleId="ae">
    <w:name w:val="Balloon Text"/>
    <w:basedOn w:val="a1"/>
    <w:link w:val="Char6"/>
    <w:uiPriority w:val="99"/>
    <w:qFormat/>
    <w:rsid w:val="00512332"/>
    <w:rPr>
      <w:rFonts w:ascii="Calibri" w:hAnsi="Calibri"/>
      <w:kern w:val="0"/>
      <w:sz w:val="18"/>
      <w:szCs w:val="18"/>
    </w:rPr>
  </w:style>
  <w:style w:type="paragraph" w:styleId="af">
    <w:name w:val="footer"/>
    <w:basedOn w:val="a1"/>
    <w:link w:val="Char7"/>
    <w:uiPriority w:val="99"/>
    <w:unhideWhenUsed/>
    <w:qFormat/>
    <w:rsid w:val="00512332"/>
    <w:pPr>
      <w:tabs>
        <w:tab w:val="center" w:pos="4153"/>
        <w:tab w:val="right" w:pos="8306"/>
      </w:tabs>
      <w:snapToGrid w:val="0"/>
      <w:jc w:val="left"/>
    </w:pPr>
    <w:rPr>
      <w:rFonts w:ascii="Calibri" w:hAnsi="Calibri"/>
      <w:kern w:val="0"/>
      <w:sz w:val="18"/>
      <w:szCs w:val="18"/>
    </w:rPr>
  </w:style>
  <w:style w:type="paragraph" w:styleId="af0">
    <w:name w:val="header"/>
    <w:basedOn w:val="a1"/>
    <w:link w:val="Char8"/>
    <w:uiPriority w:val="99"/>
    <w:unhideWhenUsed/>
    <w:rsid w:val="0051233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1"/>
    <w:next w:val="a1"/>
    <w:uiPriority w:val="39"/>
    <w:qFormat/>
    <w:rsid w:val="00512332"/>
    <w:pPr>
      <w:tabs>
        <w:tab w:val="right" w:leader="dot" w:pos="8296"/>
      </w:tabs>
      <w:spacing w:before="120" w:after="120" w:line="360" w:lineRule="auto"/>
      <w:jc w:val="left"/>
    </w:pPr>
    <w:rPr>
      <w:b/>
      <w:bCs/>
      <w:caps/>
      <w:sz w:val="20"/>
      <w:szCs w:val="20"/>
    </w:rPr>
  </w:style>
  <w:style w:type="paragraph" w:styleId="40">
    <w:name w:val="toc 4"/>
    <w:basedOn w:val="a1"/>
    <w:next w:val="a1"/>
    <w:uiPriority w:val="39"/>
    <w:unhideWhenUsed/>
    <w:rsid w:val="00512332"/>
    <w:pPr>
      <w:ind w:leftChars="600" w:left="1260"/>
    </w:pPr>
    <w:rPr>
      <w:rFonts w:ascii="Calibri" w:hAnsi="Calibri"/>
      <w:sz w:val="21"/>
      <w:szCs w:val="22"/>
    </w:rPr>
  </w:style>
  <w:style w:type="paragraph" w:styleId="af1">
    <w:name w:val="Subtitle"/>
    <w:basedOn w:val="a1"/>
    <w:next w:val="a1"/>
    <w:link w:val="Char9"/>
    <w:qFormat/>
    <w:rsid w:val="00512332"/>
    <w:pPr>
      <w:spacing w:before="240" w:after="60" w:line="312" w:lineRule="auto"/>
      <w:jc w:val="center"/>
      <w:outlineLvl w:val="1"/>
    </w:pPr>
    <w:rPr>
      <w:rFonts w:ascii="Cambria" w:hAnsi="Cambria"/>
      <w:b/>
      <w:bCs/>
      <w:kern w:val="28"/>
      <w:sz w:val="32"/>
      <w:szCs w:val="32"/>
    </w:rPr>
  </w:style>
  <w:style w:type="paragraph" w:styleId="60">
    <w:name w:val="toc 6"/>
    <w:basedOn w:val="a1"/>
    <w:next w:val="a1"/>
    <w:uiPriority w:val="39"/>
    <w:unhideWhenUsed/>
    <w:rsid w:val="00512332"/>
    <w:pPr>
      <w:ind w:leftChars="1000" w:left="2100"/>
    </w:pPr>
    <w:rPr>
      <w:rFonts w:ascii="Calibri" w:hAnsi="Calibri"/>
      <w:sz w:val="21"/>
      <w:szCs w:val="22"/>
    </w:rPr>
  </w:style>
  <w:style w:type="paragraph" w:styleId="31">
    <w:name w:val="Body Text Indent 3"/>
    <w:basedOn w:val="a1"/>
    <w:link w:val="3Char0"/>
    <w:qFormat/>
    <w:rsid w:val="00512332"/>
    <w:pPr>
      <w:ind w:leftChars="200" w:left="420" w:firstLineChars="200" w:firstLine="520"/>
    </w:pPr>
    <w:rPr>
      <w:rFonts w:ascii="Calibri" w:hAnsi="Calibri"/>
      <w:spacing w:val="10"/>
      <w:kern w:val="0"/>
      <w:sz w:val="24"/>
    </w:rPr>
  </w:style>
  <w:style w:type="paragraph" w:styleId="21">
    <w:name w:val="toc 2"/>
    <w:basedOn w:val="a1"/>
    <w:next w:val="a1"/>
    <w:uiPriority w:val="39"/>
    <w:unhideWhenUsed/>
    <w:qFormat/>
    <w:rsid w:val="00512332"/>
    <w:pPr>
      <w:widowControl/>
      <w:tabs>
        <w:tab w:val="right" w:leader="dot" w:pos="8834"/>
      </w:tabs>
      <w:ind w:left="221"/>
      <w:jc w:val="left"/>
    </w:pPr>
    <w:rPr>
      <w:kern w:val="0"/>
      <w:sz w:val="32"/>
      <w:szCs w:val="32"/>
    </w:rPr>
  </w:style>
  <w:style w:type="paragraph" w:styleId="9">
    <w:name w:val="toc 9"/>
    <w:basedOn w:val="a1"/>
    <w:next w:val="a1"/>
    <w:uiPriority w:val="39"/>
    <w:unhideWhenUsed/>
    <w:rsid w:val="00512332"/>
    <w:pPr>
      <w:ind w:leftChars="1600" w:left="3360"/>
    </w:pPr>
    <w:rPr>
      <w:rFonts w:ascii="Calibri" w:hAnsi="Calibri"/>
      <w:sz w:val="21"/>
      <w:szCs w:val="22"/>
    </w:rPr>
  </w:style>
  <w:style w:type="paragraph" w:styleId="22">
    <w:name w:val="Body Text 2"/>
    <w:basedOn w:val="a1"/>
    <w:link w:val="2Char1"/>
    <w:rsid w:val="00512332"/>
    <w:pPr>
      <w:spacing w:line="312" w:lineRule="auto"/>
      <w:jc w:val="left"/>
    </w:pPr>
    <w:rPr>
      <w:kern w:val="24"/>
      <w:sz w:val="24"/>
      <w:szCs w:val="20"/>
    </w:rPr>
  </w:style>
  <w:style w:type="paragraph" w:styleId="HTML">
    <w:name w:val="HTML Preformatted"/>
    <w:basedOn w:val="a1"/>
    <w:link w:val="HTMLChar"/>
    <w:uiPriority w:val="99"/>
    <w:semiHidden/>
    <w:unhideWhenUsed/>
    <w:rsid w:val="005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1"/>
    <w:uiPriority w:val="99"/>
    <w:unhideWhenUsed/>
    <w:qFormat/>
    <w:rsid w:val="00512332"/>
    <w:pPr>
      <w:widowControl/>
      <w:spacing w:before="100" w:beforeAutospacing="1" w:after="100" w:afterAutospacing="1"/>
      <w:jc w:val="left"/>
    </w:pPr>
    <w:rPr>
      <w:rFonts w:ascii="宋体" w:hAnsi="宋体" w:cs="宋体"/>
      <w:kern w:val="0"/>
    </w:rPr>
  </w:style>
  <w:style w:type="paragraph" w:styleId="af3">
    <w:name w:val="Title"/>
    <w:basedOn w:val="a1"/>
    <w:next w:val="a1"/>
    <w:link w:val="Chara"/>
    <w:qFormat/>
    <w:rsid w:val="00512332"/>
    <w:pPr>
      <w:spacing w:before="240" w:after="60" w:line="240" w:lineRule="auto"/>
      <w:jc w:val="center"/>
      <w:outlineLvl w:val="0"/>
    </w:pPr>
    <w:rPr>
      <w:rFonts w:asciiTheme="majorHAnsi" w:hAnsiTheme="majorHAnsi" w:cstheme="majorBidi"/>
      <w:b/>
      <w:bCs/>
      <w:sz w:val="32"/>
      <w:szCs w:val="32"/>
    </w:rPr>
  </w:style>
  <w:style w:type="character" w:styleId="af4">
    <w:name w:val="Strong"/>
    <w:uiPriority w:val="22"/>
    <w:qFormat/>
    <w:rsid w:val="00512332"/>
    <w:rPr>
      <w:b/>
      <w:bCs/>
    </w:rPr>
  </w:style>
  <w:style w:type="character" w:styleId="af5">
    <w:name w:val="page number"/>
    <w:basedOn w:val="a2"/>
    <w:qFormat/>
    <w:rsid w:val="00512332"/>
  </w:style>
  <w:style w:type="character" w:styleId="af6">
    <w:name w:val="FollowedHyperlink"/>
    <w:basedOn w:val="a2"/>
    <w:rsid w:val="00512332"/>
    <w:rPr>
      <w:color w:val="800080"/>
      <w:u w:val="single"/>
    </w:rPr>
  </w:style>
  <w:style w:type="character" w:styleId="af7">
    <w:name w:val="Emphasis"/>
    <w:basedOn w:val="a2"/>
    <w:uiPriority w:val="20"/>
    <w:qFormat/>
    <w:rsid w:val="00512332"/>
    <w:rPr>
      <w:i/>
      <w:iCs/>
    </w:rPr>
  </w:style>
  <w:style w:type="character" w:styleId="af8">
    <w:name w:val="Hyperlink"/>
    <w:uiPriority w:val="99"/>
    <w:qFormat/>
    <w:rsid w:val="00512332"/>
    <w:rPr>
      <w:color w:val="552C55"/>
      <w:u w:val="none"/>
    </w:rPr>
  </w:style>
  <w:style w:type="character" w:styleId="af9">
    <w:name w:val="annotation reference"/>
    <w:uiPriority w:val="99"/>
    <w:unhideWhenUsed/>
    <w:rsid w:val="00512332"/>
    <w:rPr>
      <w:sz w:val="21"/>
      <w:szCs w:val="21"/>
    </w:rPr>
  </w:style>
  <w:style w:type="table" w:styleId="afa">
    <w:name w:val="Table Grid"/>
    <w:basedOn w:val="a3"/>
    <w:rsid w:val="00512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qFormat/>
    <w:rsid w:val="00512332"/>
    <w:rPr>
      <w:rFonts w:ascii="Times New Roman" w:eastAsia="宋体" w:hAnsi="Times New Roman" w:cs="Times New Roman"/>
      <w:b/>
      <w:bCs/>
      <w:kern w:val="44"/>
      <w:sz w:val="44"/>
      <w:szCs w:val="44"/>
    </w:rPr>
  </w:style>
  <w:style w:type="character" w:customStyle="1" w:styleId="2Char">
    <w:name w:val="标题 2 Char"/>
    <w:link w:val="2"/>
    <w:uiPriority w:val="9"/>
    <w:qFormat/>
    <w:rsid w:val="00512332"/>
    <w:rPr>
      <w:rFonts w:ascii="Arial" w:eastAsia="黑体" w:hAnsi="Arial"/>
      <w:b/>
      <w:bCs/>
      <w:sz w:val="32"/>
      <w:szCs w:val="32"/>
    </w:rPr>
  </w:style>
  <w:style w:type="character" w:customStyle="1" w:styleId="3Char">
    <w:name w:val="标题 3 Char"/>
    <w:link w:val="3"/>
    <w:uiPriority w:val="9"/>
    <w:rsid w:val="00512332"/>
    <w:rPr>
      <w:rFonts w:ascii="Times New Roman" w:hAnsi="Times New Roman"/>
      <w:b/>
      <w:bCs/>
      <w:spacing w:val="10"/>
      <w:sz w:val="30"/>
      <w:szCs w:val="32"/>
    </w:rPr>
  </w:style>
  <w:style w:type="character" w:customStyle="1" w:styleId="4Char">
    <w:name w:val="标题 4 Char"/>
    <w:link w:val="4"/>
    <w:qFormat/>
    <w:rsid w:val="00512332"/>
    <w:rPr>
      <w:rFonts w:ascii="Times New Roman" w:hAnsi="Times New Roman"/>
      <w:bCs/>
      <w:sz w:val="30"/>
      <w:szCs w:val="28"/>
    </w:rPr>
  </w:style>
  <w:style w:type="character" w:customStyle="1" w:styleId="5Char">
    <w:name w:val="标题 5 Char"/>
    <w:basedOn w:val="a2"/>
    <w:link w:val="5"/>
    <w:rsid w:val="00512332"/>
    <w:rPr>
      <w:rFonts w:ascii="Times New Roman" w:hAnsi="Times New Roman"/>
      <w:b/>
      <w:bCs/>
      <w:kern w:val="2"/>
      <w:sz w:val="44"/>
      <w:szCs w:val="24"/>
    </w:rPr>
  </w:style>
  <w:style w:type="character" w:customStyle="1" w:styleId="6Char">
    <w:name w:val="标题 6 Char"/>
    <w:basedOn w:val="a2"/>
    <w:link w:val="6"/>
    <w:qFormat/>
    <w:rsid w:val="00512332"/>
    <w:rPr>
      <w:rFonts w:ascii="Times New Roman" w:hAnsi="Times New Roman"/>
      <w:bCs/>
      <w:i/>
      <w:iCs/>
      <w:kern w:val="2"/>
      <w:sz w:val="16"/>
      <w:szCs w:val="24"/>
    </w:rPr>
  </w:style>
  <w:style w:type="character" w:customStyle="1" w:styleId="7Char">
    <w:name w:val="标题 7 Char"/>
    <w:basedOn w:val="a2"/>
    <w:link w:val="7"/>
    <w:qFormat/>
    <w:rsid w:val="00512332"/>
    <w:rPr>
      <w:rFonts w:ascii="Times New Roman" w:hAnsi="Times New Roman"/>
      <w:bCs/>
      <w:i/>
      <w:iCs/>
      <w:kern w:val="2"/>
      <w:sz w:val="16"/>
      <w:szCs w:val="24"/>
    </w:rPr>
  </w:style>
  <w:style w:type="character" w:customStyle="1" w:styleId="8Char">
    <w:name w:val="标题 8 Char"/>
    <w:basedOn w:val="a2"/>
    <w:link w:val="8"/>
    <w:rsid w:val="00512332"/>
    <w:rPr>
      <w:rFonts w:ascii="Times New Roman" w:eastAsia="黑体" w:hAnsi="Times New Roman"/>
      <w:b/>
      <w:bCs/>
      <w:kern w:val="2"/>
      <w:sz w:val="18"/>
      <w:szCs w:val="24"/>
    </w:rPr>
  </w:style>
  <w:style w:type="character" w:customStyle="1" w:styleId="Char8">
    <w:name w:val="页眉 Char"/>
    <w:link w:val="af0"/>
    <w:uiPriority w:val="99"/>
    <w:qFormat/>
    <w:rsid w:val="00512332"/>
    <w:rPr>
      <w:sz w:val="18"/>
      <w:szCs w:val="18"/>
    </w:rPr>
  </w:style>
  <w:style w:type="character" w:customStyle="1" w:styleId="Char7">
    <w:name w:val="页脚 Char"/>
    <w:link w:val="af"/>
    <w:uiPriority w:val="99"/>
    <w:rsid w:val="00512332"/>
    <w:rPr>
      <w:sz w:val="18"/>
      <w:szCs w:val="18"/>
    </w:rPr>
  </w:style>
  <w:style w:type="character" w:customStyle="1" w:styleId="Char2">
    <w:name w:val="正文文本 Char"/>
    <w:link w:val="a9"/>
    <w:rsid w:val="00512332"/>
    <w:rPr>
      <w:rFonts w:ascii="Times New Roman" w:eastAsia="宋体" w:hAnsi="Times New Roman" w:cs="Times New Roman"/>
      <w:kern w:val="0"/>
      <w:sz w:val="24"/>
      <w:szCs w:val="20"/>
    </w:rPr>
  </w:style>
  <w:style w:type="paragraph" w:customStyle="1" w:styleId="a0">
    <w:name w:val="封面正文"/>
    <w:rsid w:val="00512332"/>
    <w:pPr>
      <w:numPr>
        <w:ilvl w:val="1"/>
        <w:numId w:val="1"/>
      </w:numPr>
      <w:jc w:val="both"/>
    </w:pPr>
    <w:rPr>
      <w:rFonts w:ascii="Times New Roman" w:hAnsi="Times New Roman"/>
    </w:rPr>
  </w:style>
  <w:style w:type="paragraph" w:customStyle="1" w:styleId="afb">
    <w:name w:val="章标题"/>
    <w:next w:val="a"/>
    <w:uiPriority w:val="99"/>
    <w:qFormat/>
    <w:rsid w:val="00512332"/>
    <w:pPr>
      <w:tabs>
        <w:tab w:val="left" w:pos="1275"/>
      </w:tabs>
      <w:spacing w:before="50" w:after="50"/>
      <w:ind w:left="1275" w:hanging="420"/>
      <w:jc w:val="both"/>
      <w:outlineLvl w:val="1"/>
    </w:pPr>
    <w:rPr>
      <w:rFonts w:ascii="黑体" w:eastAsia="黑体" w:hAnsi="Times New Roman"/>
      <w:sz w:val="21"/>
    </w:rPr>
  </w:style>
  <w:style w:type="paragraph" w:customStyle="1" w:styleId="a">
    <w:name w:val="段"/>
    <w:link w:val="Charb"/>
    <w:qFormat/>
    <w:rsid w:val="00512332"/>
    <w:pPr>
      <w:numPr>
        <w:numId w:val="1"/>
      </w:numPr>
      <w:autoSpaceDE w:val="0"/>
      <w:autoSpaceDN w:val="0"/>
      <w:ind w:firstLineChars="200" w:firstLine="200"/>
      <w:jc w:val="both"/>
    </w:pPr>
    <w:rPr>
      <w:rFonts w:ascii="宋体" w:hAnsi="Times New Roman"/>
    </w:rPr>
  </w:style>
  <w:style w:type="character" w:customStyle="1" w:styleId="Charb">
    <w:name w:val="段 Char"/>
    <w:link w:val="a"/>
    <w:rsid w:val="00512332"/>
    <w:rPr>
      <w:rFonts w:ascii="宋体" w:hAnsi="Times New Roman"/>
    </w:rPr>
  </w:style>
  <w:style w:type="paragraph" w:customStyle="1" w:styleId="afc">
    <w:name w:val="前言、引言标题"/>
    <w:next w:val="a1"/>
    <w:qFormat/>
    <w:rsid w:val="00512332"/>
    <w:pPr>
      <w:shd w:val="clear" w:color="FFFFFF" w:fill="FFFFFF"/>
      <w:tabs>
        <w:tab w:val="left" w:pos="903"/>
      </w:tabs>
      <w:spacing w:before="640" w:after="560"/>
      <w:ind w:left="903" w:hanging="315"/>
      <w:jc w:val="center"/>
      <w:outlineLvl w:val="0"/>
    </w:pPr>
    <w:rPr>
      <w:rFonts w:ascii="黑体" w:eastAsia="黑体" w:hAnsi="Times New Roman"/>
      <w:sz w:val="32"/>
    </w:rPr>
  </w:style>
  <w:style w:type="paragraph" w:customStyle="1" w:styleId="afd">
    <w:name w:val="目次、标准名称标题"/>
    <w:basedOn w:val="afc"/>
    <w:next w:val="a"/>
    <w:rsid w:val="00512332"/>
    <w:pPr>
      <w:tabs>
        <w:tab w:val="clear" w:pos="903"/>
      </w:tabs>
      <w:spacing w:line="460" w:lineRule="exact"/>
      <w:ind w:left="0" w:firstLine="0"/>
    </w:pPr>
  </w:style>
  <w:style w:type="character" w:customStyle="1" w:styleId="2Char0">
    <w:name w:val="正文文本缩进 2 Char"/>
    <w:link w:val="20"/>
    <w:qFormat/>
    <w:rsid w:val="00512332"/>
    <w:rPr>
      <w:szCs w:val="24"/>
    </w:rPr>
  </w:style>
  <w:style w:type="character" w:customStyle="1" w:styleId="2Char10">
    <w:name w:val="正文文本缩进 2 Char1"/>
    <w:uiPriority w:val="99"/>
    <w:semiHidden/>
    <w:qFormat/>
    <w:rsid w:val="00512332"/>
    <w:rPr>
      <w:rFonts w:ascii="Times New Roman" w:eastAsia="宋体" w:hAnsi="Times New Roman" w:cs="Times New Roman"/>
      <w:szCs w:val="24"/>
    </w:rPr>
  </w:style>
  <w:style w:type="character" w:customStyle="1" w:styleId="Char3">
    <w:name w:val="正文文本缩进 Char"/>
    <w:link w:val="aa"/>
    <w:qFormat/>
    <w:rsid w:val="00512332"/>
    <w:rPr>
      <w:szCs w:val="24"/>
    </w:rPr>
  </w:style>
  <w:style w:type="character" w:customStyle="1" w:styleId="Char10">
    <w:name w:val="正文文本缩进 Char1"/>
    <w:uiPriority w:val="99"/>
    <w:semiHidden/>
    <w:qFormat/>
    <w:rsid w:val="00512332"/>
    <w:rPr>
      <w:rFonts w:ascii="Times New Roman" w:eastAsia="宋体" w:hAnsi="Times New Roman" w:cs="Times New Roman"/>
      <w:szCs w:val="24"/>
    </w:rPr>
  </w:style>
  <w:style w:type="paragraph" w:customStyle="1" w:styleId="afe">
    <w:name w:val="标准书眉_奇数页"/>
    <w:next w:val="a1"/>
    <w:qFormat/>
    <w:rsid w:val="00512332"/>
    <w:pPr>
      <w:tabs>
        <w:tab w:val="center" w:pos="4154"/>
        <w:tab w:val="right" w:pos="8306"/>
      </w:tabs>
      <w:spacing w:after="120"/>
      <w:jc w:val="right"/>
    </w:pPr>
    <w:rPr>
      <w:rFonts w:ascii="Times New Roman" w:hAnsi="Times New Roman"/>
      <w:sz w:val="21"/>
    </w:rPr>
  </w:style>
  <w:style w:type="paragraph" w:customStyle="1" w:styleId="aff">
    <w:name w:val="标准书脚_偶数页"/>
    <w:qFormat/>
    <w:rsid w:val="00512332"/>
    <w:pPr>
      <w:spacing w:before="120"/>
    </w:pPr>
    <w:rPr>
      <w:rFonts w:ascii="Times New Roman" w:hAnsi="Times New Roman"/>
      <w:sz w:val="18"/>
    </w:rPr>
  </w:style>
  <w:style w:type="paragraph" w:customStyle="1" w:styleId="aff0">
    <w:name w:val="封面标准文稿编辑信息"/>
    <w:qFormat/>
    <w:rsid w:val="00512332"/>
    <w:pPr>
      <w:spacing w:before="180" w:line="180" w:lineRule="exact"/>
      <w:jc w:val="center"/>
    </w:pPr>
    <w:rPr>
      <w:rFonts w:ascii="宋体" w:hAnsi="Times New Roman"/>
      <w:sz w:val="21"/>
    </w:rPr>
  </w:style>
  <w:style w:type="character" w:customStyle="1" w:styleId="Char5">
    <w:name w:val="日期 Char"/>
    <w:link w:val="ad"/>
    <w:uiPriority w:val="99"/>
    <w:qFormat/>
    <w:rsid w:val="00512332"/>
    <w:rPr>
      <w:sz w:val="24"/>
    </w:rPr>
  </w:style>
  <w:style w:type="character" w:customStyle="1" w:styleId="Char11">
    <w:name w:val="日期 Char1"/>
    <w:uiPriority w:val="99"/>
    <w:semiHidden/>
    <w:qFormat/>
    <w:rsid w:val="00512332"/>
    <w:rPr>
      <w:rFonts w:ascii="Times New Roman" w:eastAsia="宋体" w:hAnsi="Times New Roman" w:cs="Times New Roman"/>
      <w:szCs w:val="24"/>
    </w:rPr>
  </w:style>
  <w:style w:type="character" w:customStyle="1" w:styleId="HTMLMarkup">
    <w:name w:val="HTML Markup"/>
    <w:qFormat/>
    <w:rsid w:val="00512332"/>
    <w:rPr>
      <w:vanish/>
      <w:color w:val="FF0000"/>
    </w:rPr>
  </w:style>
  <w:style w:type="character" w:customStyle="1" w:styleId="2Char1">
    <w:name w:val="正文文本 2 Char"/>
    <w:link w:val="22"/>
    <w:qFormat/>
    <w:rsid w:val="00512332"/>
    <w:rPr>
      <w:rFonts w:ascii="Times New Roman" w:eastAsia="宋体" w:hAnsi="Times New Roman" w:cs="Times New Roman"/>
      <w:kern w:val="24"/>
      <w:sz w:val="24"/>
      <w:szCs w:val="20"/>
    </w:rPr>
  </w:style>
  <w:style w:type="paragraph" w:customStyle="1" w:styleId="aff1">
    <w:name w:val="一级条标题"/>
    <w:basedOn w:val="afb"/>
    <w:next w:val="a1"/>
    <w:rsid w:val="00512332"/>
    <w:pPr>
      <w:tabs>
        <w:tab w:val="clear" w:pos="1275"/>
        <w:tab w:val="left" w:pos="360"/>
      </w:tabs>
      <w:spacing w:before="0" w:after="0"/>
      <w:ind w:left="0" w:firstLine="0"/>
      <w:outlineLvl w:val="2"/>
    </w:pPr>
  </w:style>
  <w:style w:type="paragraph" w:customStyle="1" w:styleId="aff2">
    <w:name w:val="二级条标题"/>
    <w:basedOn w:val="aff1"/>
    <w:next w:val="a1"/>
    <w:qFormat/>
    <w:rsid w:val="00512332"/>
    <w:pPr>
      <w:outlineLvl w:val="3"/>
    </w:pPr>
  </w:style>
  <w:style w:type="paragraph" w:customStyle="1" w:styleId="aff3">
    <w:name w:val="三级条标题"/>
    <w:basedOn w:val="aff2"/>
    <w:next w:val="a1"/>
    <w:qFormat/>
    <w:rsid w:val="00512332"/>
    <w:pPr>
      <w:outlineLvl w:val="4"/>
    </w:pPr>
  </w:style>
  <w:style w:type="paragraph" w:customStyle="1" w:styleId="aff4">
    <w:name w:val="四级条标题"/>
    <w:basedOn w:val="aff3"/>
    <w:next w:val="a1"/>
    <w:qFormat/>
    <w:rsid w:val="00512332"/>
    <w:pPr>
      <w:outlineLvl w:val="5"/>
    </w:pPr>
  </w:style>
  <w:style w:type="paragraph" w:customStyle="1" w:styleId="aff5">
    <w:name w:val="五级条标题"/>
    <w:basedOn w:val="aff4"/>
    <w:next w:val="a1"/>
    <w:uiPriority w:val="99"/>
    <w:qFormat/>
    <w:rsid w:val="00512332"/>
    <w:pPr>
      <w:outlineLvl w:val="6"/>
    </w:pPr>
  </w:style>
  <w:style w:type="paragraph" w:customStyle="1" w:styleId="aff6">
    <w:name w:val="附录标识"/>
    <w:basedOn w:val="afc"/>
    <w:rsid w:val="00512332"/>
    <w:pPr>
      <w:tabs>
        <w:tab w:val="clear" w:pos="903"/>
        <w:tab w:val="left" w:pos="6405"/>
      </w:tabs>
      <w:spacing w:after="200"/>
      <w:ind w:left="0" w:firstLine="0"/>
    </w:pPr>
    <w:rPr>
      <w:sz w:val="21"/>
    </w:rPr>
  </w:style>
  <w:style w:type="paragraph" w:customStyle="1" w:styleId="aff7">
    <w:name w:val="附录章标题"/>
    <w:next w:val="a"/>
    <w:qFormat/>
    <w:rsid w:val="0051233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8">
    <w:name w:val="附录一级条标题"/>
    <w:basedOn w:val="aff7"/>
    <w:next w:val="a"/>
    <w:qFormat/>
    <w:rsid w:val="00512332"/>
    <w:pPr>
      <w:tabs>
        <w:tab w:val="left" w:pos="828"/>
      </w:tabs>
      <w:autoSpaceDN w:val="0"/>
      <w:spacing w:beforeLines="0" w:afterLines="0"/>
      <w:ind w:left="828" w:hanging="240"/>
      <w:outlineLvl w:val="2"/>
    </w:pPr>
  </w:style>
  <w:style w:type="paragraph" w:customStyle="1" w:styleId="aff9">
    <w:name w:val="附录二级条标题"/>
    <w:basedOn w:val="aff8"/>
    <w:next w:val="a"/>
    <w:qFormat/>
    <w:rsid w:val="00512332"/>
    <w:pPr>
      <w:tabs>
        <w:tab w:val="left" w:pos="360"/>
      </w:tabs>
      <w:ind w:left="360" w:hanging="360"/>
      <w:outlineLvl w:val="3"/>
    </w:pPr>
  </w:style>
  <w:style w:type="paragraph" w:customStyle="1" w:styleId="affa">
    <w:name w:val="附录三级条标题"/>
    <w:basedOn w:val="aff9"/>
    <w:next w:val="a"/>
    <w:rsid w:val="00512332"/>
    <w:pPr>
      <w:tabs>
        <w:tab w:val="left" w:pos="1068"/>
      </w:tabs>
      <w:ind w:left="1068"/>
      <w:outlineLvl w:val="4"/>
    </w:pPr>
  </w:style>
  <w:style w:type="paragraph" w:customStyle="1" w:styleId="affb">
    <w:name w:val="附录四级条标题"/>
    <w:basedOn w:val="affa"/>
    <w:next w:val="a"/>
    <w:qFormat/>
    <w:rsid w:val="00512332"/>
    <w:pPr>
      <w:tabs>
        <w:tab w:val="left" w:pos="960"/>
      </w:tabs>
      <w:ind w:left="960"/>
      <w:outlineLvl w:val="5"/>
    </w:pPr>
  </w:style>
  <w:style w:type="paragraph" w:customStyle="1" w:styleId="affc">
    <w:name w:val="附录五级条标题"/>
    <w:basedOn w:val="affb"/>
    <w:next w:val="a"/>
    <w:qFormat/>
    <w:rsid w:val="00512332"/>
    <w:pPr>
      <w:tabs>
        <w:tab w:val="left" w:pos="435"/>
      </w:tabs>
      <w:ind w:left="435" w:hanging="165"/>
      <w:outlineLvl w:val="6"/>
    </w:pPr>
  </w:style>
  <w:style w:type="paragraph" w:customStyle="1" w:styleId="affd">
    <w:name w:val="列项——"/>
    <w:rsid w:val="00512332"/>
    <w:pPr>
      <w:widowControl w:val="0"/>
      <w:tabs>
        <w:tab w:val="left" w:pos="854"/>
      </w:tabs>
      <w:ind w:leftChars="200" w:left="840" w:hangingChars="200" w:hanging="420"/>
      <w:jc w:val="both"/>
    </w:pPr>
    <w:rPr>
      <w:rFonts w:ascii="宋体" w:hAnsi="Times New Roman"/>
      <w:sz w:val="21"/>
    </w:rPr>
  </w:style>
  <w:style w:type="paragraph" w:customStyle="1" w:styleId="affe">
    <w:name w:val="列项·"/>
    <w:qFormat/>
    <w:rsid w:val="00512332"/>
    <w:pPr>
      <w:tabs>
        <w:tab w:val="left" w:pos="840"/>
      </w:tabs>
      <w:ind w:leftChars="200" w:left="840" w:hangingChars="200" w:hanging="420"/>
      <w:jc w:val="both"/>
    </w:pPr>
    <w:rPr>
      <w:rFonts w:ascii="宋体" w:hAnsi="Times New Roman"/>
      <w:sz w:val="21"/>
    </w:rPr>
  </w:style>
  <w:style w:type="paragraph" w:customStyle="1" w:styleId="afff">
    <w:name w:val="三级无标题条"/>
    <w:basedOn w:val="a1"/>
    <w:qFormat/>
    <w:rsid w:val="00512332"/>
  </w:style>
  <w:style w:type="paragraph" w:customStyle="1" w:styleId="afff0">
    <w:name w:val="示例"/>
    <w:next w:val="a"/>
    <w:rsid w:val="00512332"/>
    <w:pPr>
      <w:tabs>
        <w:tab w:val="left" w:pos="816"/>
      </w:tabs>
      <w:ind w:firstLineChars="233" w:firstLine="419"/>
      <w:jc w:val="both"/>
    </w:pPr>
    <w:rPr>
      <w:rFonts w:ascii="宋体" w:hAnsi="Times New Roman"/>
      <w:sz w:val="18"/>
    </w:rPr>
  </w:style>
  <w:style w:type="paragraph" w:customStyle="1" w:styleId="afff1">
    <w:name w:val="四级无标题条"/>
    <w:basedOn w:val="a1"/>
    <w:qFormat/>
    <w:rsid w:val="00512332"/>
  </w:style>
  <w:style w:type="paragraph" w:customStyle="1" w:styleId="afff2">
    <w:name w:val="五级无标题条"/>
    <w:basedOn w:val="a1"/>
    <w:rsid w:val="00512332"/>
  </w:style>
  <w:style w:type="paragraph" w:customStyle="1" w:styleId="afff3">
    <w:name w:val="一级无标题条"/>
    <w:basedOn w:val="a1"/>
    <w:qFormat/>
    <w:rsid w:val="00512332"/>
  </w:style>
  <w:style w:type="paragraph" w:customStyle="1" w:styleId="afff4">
    <w:name w:val="正文表标题"/>
    <w:next w:val="a"/>
    <w:qFormat/>
    <w:rsid w:val="00512332"/>
    <w:pPr>
      <w:jc w:val="center"/>
    </w:pPr>
    <w:rPr>
      <w:rFonts w:ascii="黑体" w:eastAsia="黑体" w:hAnsi="Times New Roman"/>
      <w:sz w:val="21"/>
    </w:rPr>
  </w:style>
  <w:style w:type="paragraph" w:customStyle="1" w:styleId="afff5">
    <w:name w:val="正文图标题"/>
    <w:next w:val="a"/>
    <w:rsid w:val="00512332"/>
    <w:pPr>
      <w:jc w:val="center"/>
    </w:pPr>
    <w:rPr>
      <w:rFonts w:ascii="黑体" w:eastAsia="黑体" w:hAnsi="Times New Roman"/>
      <w:sz w:val="21"/>
    </w:rPr>
  </w:style>
  <w:style w:type="paragraph" w:customStyle="1" w:styleId="afff6">
    <w:name w:val="注："/>
    <w:next w:val="a"/>
    <w:qFormat/>
    <w:rsid w:val="00512332"/>
    <w:pPr>
      <w:widowControl w:val="0"/>
      <w:autoSpaceDE w:val="0"/>
      <w:autoSpaceDN w:val="0"/>
      <w:ind w:left="840" w:hanging="420"/>
      <w:jc w:val="both"/>
    </w:pPr>
    <w:rPr>
      <w:rFonts w:ascii="宋体" w:hAnsi="Times New Roman"/>
      <w:sz w:val="18"/>
    </w:rPr>
  </w:style>
  <w:style w:type="paragraph" w:customStyle="1" w:styleId="afff7">
    <w:name w:val="注×："/>
    <w:rsid w:val="00512332"/>
    <w:pPr>
      <w:widowControl w:val="0"/>
      <w:tabs>
        <w:tab w:val="left" w:pos="630"/>
      </w:tabs>
      <w:autoSpaceDE w:val="0"/>
      <w:autoSpaceDN w:val="0"/>
      <w:jc w:val="both"/>
    </w:pPr>
    <w:rPr>
      <w:rFonts w:ascii="宋体" w:hAnsi="Times New Roman"/>
      <w:sz w:val="18"/>
    </w:rPr>
  </w:style>
  <w:style w:type="character" w:customStyle="1" w:styleId="3Char0">
    <w:name w:val="正文文本缩进 3 Char"/>
    <w:link w:val="31"/>
    <w:qFormat/>
    <w:rsid w:val="00512332"/>
    <w:rPr>
      <w:spacing w:val="10"/>
      <w:sz w:val="24"/>
      <w:szCs w:val="24"/>
    </w:rPr>
  </w:style>
  <w:style w:type="character" w:customStyle="1" w:styleId="3Char1">
    <w:name w:val="正文文本缩进 3 Char1"/>
    <w:uiPriority w:val="99"/>
    <w:semiHidden/>
    <w:rsid w:val="00512332"/>
    <w:rPr>
      <w:rFonts w:ascii="Times New Roman" w:eastAsia="宋体" w:hAnsi="Times New Roman" w:cs="Times New Roman"/>
      <w:sz w:val="16"/>
      <w:szCs w:val="16"/>
    </w:rPr>
  </w:style>
  <w:style w:type="character" w:customStyle="1" w:styleId="Char1">
    <w:name w:val="文档结构图 Char"/>
    <w:link w:val="a8"/>
    <w:uiPriority w:val="99"/>
    <w:rsid w:val="00512332"/>
    <w:rPr>
      <w:szCs w:val="24"/>
      <w:shd w:val="clear" w:color="auto" w:fill="000080"/>
    </w:rPr>
  </w:style>
  <w:style w:type="character" w:customStyle="1" w:styleId="Char12">
    <w:name w:val="文档结构图 Char1"/>
    <w:uiPriority w:val="99"/>
    <w:semiHidden/>
    <w:rsid w:val="00512332"/>
    <w:rPr>
      <w:rFonts w:ascii="宋体" w:eastAsia="宋体" w:hAnsi="Times New Roman" w:cs="Times New Roman"/>
      <w:sz w:val="18"/>
      <w:szCs w:val="18"/>
    </w:rPr>
  </w:style>
  <w:style w:type="paragraph" w:customStyle="1" w:styleId="11">
    <w:name w:val="封面标准号1"/>
    <w:rsid w:val="00512332"/>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8">
    <w:name w:val="列项——（一级）"/>
    <w:qFormat/>
    <w:rsid w:val="00512332"/>
    <w:pPr>
      <w:widowControl w:val="0"/>
      <w:jc w:val="both"/>
    </w:pPr>
    <w:rPr>
      <w:rFonts w:ascii="宋体" w:hAnsi="Times New Roman"/>
      <w:sz w:val="21"/>
    </w:rPr>
  </w:style>
  <w:style w:type="character" w:customStyle="1" w:styleId="Char6">
    <w:name w:val="批注框文本 Char"/>
    <w:link w:val="ae"/>
    <w:uiPriority w:val="99"/>
    <w:rsid w:val="00512332"/>
    <w:rPr>
      <w:sz w:val="18"/>
      <w:szCs w:val="18"/>
    </w:rPr>
  </w:style>
  <w:style w:type="character" w:customStyle="1" w:styleId="Char13">
    <w:name w:val="批注框文本 Char1"/>
    <w:uiPriority w:val="99"/>
    <w:semiHidden/>
    <w:rsid w:val="00512332"/>
    <w:rPr>
      <w:rFonts w:ascii="Times New Roman" w:eastAsia="宋体" w:hAnsi="Times New Roman" w:cs="Times New Roman"/>
      <w:sz w:val="18"/>
      <w:szCs w:val="18"/>
    </w:rPr>
  </w:style>
  <w:style w:type="character" w:customStyle="1" w:styleId="3Char10">
    <w:name w:val="标题 3 Char1"/>
    <w:qFormat/>
    <w:rsid w:val="00512332"/>
    <w:rPr>
      <w:rFonts w:ascii="Times New Roman" w:hAnsi="Times New Roman"/>
      <w:b/>
      <w:bCs/>
      <w:kern w:val="2"/>
      <w:sz w:val="32"/>
      <w:szCs w:val="32"/>
    </w:rPr>
  </w:style>
  <w:style w:type="paragraph" w:customStyle="1" w:styleId="afff9">
    <w:name w:val="条文"/>
    <w:basedOn w:val="a1"/>
    <w:link w:val="Charc"/>
    <w:rsid w:val="00512332"/>
    <w:pPr>
      <w:spacing w:line="300" w:lineRule="auto"/>
      <w:outlineLvl w:val="2"/>
    </w:pPr>
    <w:rPr>
      <w:kern w:val="0"/>
      <w:sz w:val="24"/>
    </w:rPr>
  </w:style>
  <w:style w:type="character" w:customStyle="1" w:styleId="Charc">
    <w:name w:val="条文 Char"/>
    <w:link w:val="afff9"/>
    <w:qFormat/>
    <w:rsid w:val="00512332"/>
    <w:rPr>
      <w:rFonts w:ascii="Times New Roman" w:eastAsia="宋体" w:hAnsi="Times New Roman" w:cs="Times New Roman"/>
      <w:sz w:val="24"/>
      <w:szCs w:val="24"/>
    </w:rPr>
  </w:style>
  <w:style w:type="paragraph" w:styleId="afffa">
    <w:name w:val="List Paragraph"/>
    <w:basedOn w:val="a1"/>
    <w:link w:val="Chard"/>
    <w:uiPriority w:val="34"/>
    <w:qFormat/>
    <w:rsid w:val="00512332"/>
    <w:pPr>
      <w:ind w:firstLineChars="200" w:firstLine="420"/>
    </w:pPr>
    <w:rPr>
      <w:rFonts w:ascii="Calibri" w:hAnsi="Calibri"/>
      <w:kern w:val="0"/>
      <w:sz w:val="24"/>
      <w:szCs w:val="20"/>
    </w:rPr>
  </w:style>
  <w:style w:type="character" w:customStyle="1" w:styleId="Chard">
    <w:name w:val="列出段落 Char"/>
    <w:link w:val="afffa"/>
    <w:uiPriority w:val="34"/>
    <w:qFormat/>
    <w:locked/>
    <w:rsid w:val="00512332"/>
    <w:rPr>
      <w:rFonts w:ascii="Calibri" w:eastAsia="宋体" w:hAnsi="Calibri" w:cs="Times New Roman"/>
      <w:sz w:val="24"/>
    </w:rPr>
  </w:style>
  <w:style w:type="paragraph" w:customStyle="1" w:styleId="CharCharCharCharCharCharChar">
    <w:name w:val="Char Char Char Char Char Char Char"/>
    <w:basedOn w:val="a1"/>
    <w:rsid w:val="00512332"/>
    <w:pPr>
      <w:widowControl/>
      <w:spacing w:after="160" w:line="240" w:lineRule="exact"/>
      <w:jc w:val="left"/>
    </w:pPr>
    <w:rPr>
      <w:rFonts w:ascii="Arial" w:eastAsia="Times New Roman" w:hAnsi="Arial" w:cs="Verdana"/>
      <w:b/>
      <w:kern w:val="0"/>
      <w:lang w:eastAsia="en-US"/>
    </w:rPr>
  </w:style>
  <w:style w:type="paragraph" w:customStyle="1" w:styleId="afffb">
    <w:name w:val="段落正文"/>
    <w:basedOn w:val="a1"/>
    <w:qFormat/>
    <w:rsid w:val="00512332"/>
    <w:pPr>
      <w:spacing w:line="300" w:lineRule="auto"/>
      <w:ind w:firstLineChars="200" w:firstLine="482"/>
    </w:pPr>
  </w:style>
  <w:style w:type="paragraph" w:customStyle="1" w:styleId="15">
    <w:name w:val="样式 宋体 四号 行距: 1.5 倍行距"/>
    <w:basedOn w:val="a1"/>
    <w:qFormat/>
    <w:rsid w:val="00512332"/>
    <w:pPr>
      <w:numPr>
        <w:numId w:val="2"/>
      </w:numPr>
      <w:spacing w:line="360" w:lineRule="auto"/>
    </w:pPr>
    <w:rPr>
      <w:rFonts w:ascii="宋体" w:hAnsi="宋体" w:cs="宋体"/>
      <w:sz w:val="28"/>
      <w:szCs w:val="20"/>
    </w:rPr>
  </w:style>
  <w:style w:type="character" w:customStyle="1" w:styleId="Char9">
    <w:name w:val="副标题 Char"/>
    <w:link w:val="af1"/>
    <w:qFormat/>
    <w:rsid w:val="00512332"/>
    <w:rPr>
      <w:rFonts w:ascii="Cambria" w:eastAsia="宋体" w:hAnsi="Cambria" w:cs="Times New Roman"/>
      <w:b/>
      <w:bCs/>
      <w:kern w:val="28"/>
      <w:sz w:val="32"/>
      <w:szCs w:val="32"/>
    </w:rPr>
  </w:style>
  <w:style w:type="paragraph" w:customStyle="1" w:styleId="CM7">
    <w:name w:val="CM7"/>
    <w:basedOn w:val="a1"/>
    <w:next w:val="a1"/>
    <w:uiPriority w:val="99"/>
    <w:rsid w:val="00512332"/>
    <w:pPr>
      <w:autoSpaceDE w:val="0"/>
      <w:autoSpaceDN w:val="0"/>
      <w:adjustRightInd w:val="0"/>
      <w:spacing w:line="468" w:lineRule="atLeast"/>
      <w:jc w:val="left"/>
    </w:pPr>
    <w:rPr>
      <w:rFonts w:ascii="FZHei-B01S" w:eastAsia="FZHei-B01S" w:hAnsi="Calibri"/>
      <w:kern w:val="0"/>
    </w:rPr>
  </w:style>
  <w:style w:type="paragraph" w:customStyle="1" w:styleId="Default">
    <w:name w:val="Default"/>
    <w:qFormat/>
    <w:rsid w:val="00512332"/>
    <w:pPr>
      <w:widowControl w:val="0"/>
      <w:autoSpaceDE w:val="0"/>
      <w:autoSpaceDN w:val="0"/>
      <w:adjustRightInd w:val="0"/>
    </w:pPr>
    <w:rPr>
      <w:rFonts w:ascii="FZHei-B01S" w:eastAsia="FZHei-B01S" w:cs="FZHei-B01S"/>
      <w:color w:val="000000"/>
      <w:sz w:val="24"/>
      <w:szCs w:val="24"/>
    </w:rPr>
  </w:style>
  <w:style w:type="paragraph" w:customStyle="1" w:styleId="CM20">
    <w:name w:val="CM20"/>
    <w:basedOn w:val="Default"/>
    <w:next w:val="Default"/>
    <w:uiPriority w:val="99"/>
    <w:rsid w:val="00512332"/>
    <w:pPr>
      <w:spacing w:line="468" w:lineRule="atLeast"/>
    </w:pPr>
    <w:rPr>
      <w:rFonts w:cs="Times New Roman"/>
      <w:color w:val="auto"/>
    </w:rPr>
  </w:style>
  <w:style w:type="paragraph" w:customStyle="1" w:styleId="CM18">
    <w:name w:val="CM18"/>
    <w:basedOn w:val="Default"/>
    <w:next w:val="Default"/>
    <w:uiPriority w:val="99"/>
    <w:rsid w:val="00512332"/>
    <w:pPr>
      <w:spacing w:line="468" w:lineRule="atLeast"/>
    </w:pPr>
    <w:rPr>
      <w:rFonts w:cs="Times New Roman"/>
      <w:color w:val="auto"/>
    </w:rPr>
  </w:style>
  <w:style w:type="paragraph" w:customStyle="1" w:styleId="CM11">
    <w:name w:val="CM11"/>
    <w:basedOn w:val="Default"/>
    <w:next w:val="Default"/>
    <w:uiPriority w:val="99"/>
    <w:rsid w:val="00512332"/>
    <w:pPr>
      <w:spacing w:line="468" w:lineRule="atLeast"/>
    </w:pPr>
    <w:rPr>
      <w:rFonts w:cs="Times New Roman"/>
      <w:color w:val="auto"/>
    </w:rPr>
  </w:style>
  <w:style w:type="paragraph" w:customStyle="1" w:styleId="CM25">
    <w:name w:val="CM25"/>
    <w:basedOn w:val="Default"/>
    <w:next w:val="Default"/>
    <w:uiPriority w:val="99"/>
    <w:rsid w:val="00512332"/>
    <w:pPr>
      <w:spacing w:line="468" w:lineRule="atLeast"/>
    </w:pPr>
    <w:rPr>
      <w:rFonts w:cs="Times New Roman"/>
      <w:color w:val="auto"/>
    </w:rPr>
  </w:style>
  <w:style w:type="paragraph" w:customStyle="1" w:styleId="CM26">
    <w:name w:val="CM26"/>
    <w:basedOn w:val="Default"/>
    <w:next w:val="Default"/>
    <w:uiPriority w:val="99"/>
    <w:rsid w:val="00512332"/>
    <w:pPr>
      <w:spacing w:line="468" w:lineRule="atLeast"/>
    </w:pPr>
    <w:rPr>
      <w:rFonts w:cs="Times New Roman"/>
      <w:color w:val="auto"/>
    </w:rPr>
  </w:style>
  <w:style w:type="paragraph" w:customStyle="1" w:styleId="CM16">
    <w:name w:val="CM16"/>
    <w:basedOn w:val="Default"/>
    <w:next w:val="Default"/>
    <w:uiPriority w:val="99"/>
    <w:rsid w:val="00512332"/>
    <w:pPr>
      <w:spacing w:line="468" w:lineRule="atLeast"/>
    </w:pPr>
    <w:rPr>
      <w:rFonts w:cs="Times New Roman"/>
      <w:color w:val="auto"/>
    </w:rPr>
  </w:style>
  <w:style w:type="paragraph" w:customStyle="1" w:styleId="CM39">
    <w:name w:val="CM39"/>
    <w:basedOn w:val="Default"/>
    <w:next w:val="Default"/>
    <w:uiPriority w:val="99"/>
    <w:rsid w:val="00512332"/>
    <w:pPr>
      <w:spacing w:line="468" w:lineRule="atLeast"/>
    </w:pPr>
    <w:rPr>
      <w:rFonts w:cs="Times New Roman"/>
      <w:color w:val="auto"/>
    </w:rPr>
  </w:style>
  <w:style w:type="paragraph" w:customStyle="1" w:styleId="CM91">
    <w:name w:val="CM91"/>
    <w:basedOn w:val="Default"/>
    <w:next w:val="Default"/>
    <w:uiPriority w:val="99"/>
    <w:rsid w:val="00512332"/>
    <w:rPr>
      <w:rFonts w:cs="Times New Roman"/>
      <w:color w:val="auto"/>
    </w:rPr>
  </w:style>
  <w:style w:type="paragraph" w:customStyle="1" w:styleId="CM90">
    <w:name w:val="CM90"/>
    <w:basedOn w:val="Default"/>
    <w:next w:val="Default"/>
    <w:uiPriority w:val="99"/>
    <w:rsid w:val="00512332"/>
    <w:rPr>
      <w:rFonts w:cs="Times New Roman"/>
      <w:color w:val="auto"/>
    </w:rPr>
  </w:style>
  <w:style w:type="paragraph" w:customStyle="1" w:styleId="CM92">
    <w:name w:val="CM92"/>
    <w:basedOn w:val="Default"/>
    <w:next w:val="Default"/>
    <w:uiPriority w:val="99"/>
    <w:rsid w:val="00512332"/>
    <w:rPr>
      <w:rFonts w:cs="Times New Roman"/>
      <w:color w:val="auto"/>
    </w:rPr>
  </w:style>
  <w:style w:type="paragraph" w:customStyle="1" w:styleId="CM19">
    <w:name w:val="CM19"/>
    <w:basedOn w:val="Default"/>
    <w:next w:val="Default"/>
    <w:uiPriority w:val="99"/>
    <w:rsid w:val="00512332"/>
    <w:pPr>
      <w:spacing w:line="468" w:lineRule="atLeast"/>
    </w:pPr>
    <w:rPr>
      <w:rFonts w:cs="Times New Roman"/>
      <w:color w:val="auto"/>
    </w:rPr>
  </w:style>
  <w:style w:type="paragraph" w:customStyle="1" w:styleId="CM28">
    <w:name w:val="CM28"/>
    <w:basedOn w:val="Default"/>
    <w:next w:val="Default"/>
    <w:uiPriority w:val="99"/>
    <w:rsid w:val="00512332"/>
    <w:pPr>
      <w:spacing w:line="468" w:lineRule="atLeast"/>
    </w:pPr>
    <w:rPr>
      <w:rFonts w:cs="Times New Roman"/>
      <w:color w:val="auto"/>
    </w:rPr>
  </w:style>
  <w:style w:type="paragraph" w:customStyle="1" w:styleId="CM40">
    <w:name w:val="CM40"/>
    <w:basedOn w:val="Default"/>
    <w:next w:val="Default"/>
    <w:uiPriority w:val="99"/>
    <w:rsid w:val="00512332"/>
    <w:rPr>
      <w:rFonts w:cs="Times New Roman"/>
      <w:color w:val="auto"/>
    </w:rPr>
  </w:style>
  <w:style w:type="paragraph" w:customStyle="1" w:styleId="CM52">
    <w:name w:val="CM52"/>
    <w:basedOn w:val="Default"/>
    <w:next w:val="Default"/>
    <w:uiPriority w:val="99"/>
    <w:rsid w:val="00512332"/>
    <w:pPr>
      <w:spacing w:line="471" w:lineRule="atLeast"/>
    </w:pPr>
    <w:rPr>
      <w:rFonts w:cs="Times New Roman"/>
      <w:color w:val="auto"/>
    </w:rPr>
  </w:style>
  <w:style w:type="paragraph" w:customStyle="1" w:styleId="CM51">
    <w:name w:val="CM51"/>
    <w:basedOn w:val="Default"/>
    <w:next w:val="Default"/>
    <w:uiPriority w:val="99"/>
    <w:rsid w:val="00512332"/>
    <w:pPr>
      <w:spacing w:line="468" w:lineRule="atLeast"/>
    </w:pPr>
    <w:rPr>
      <w:rFonts w:cs="Times New Roman"/>
      <w:color w:val="auto"/>
    </w:rPr>
  </w:style>
  <w:style w:type="character" w:customStyle="1" w:styleId="Char0">
    <w:name w:val="批注文字 Char"/>
    <w:link w:val="a6"/>
    <w:uiPriority w:val="99"/>
    <w:rsid w:val="00512332"/>
    <w:rPr>
      <w:rFonts w:ascii="Times New Roman" w:eastAsia="宋体" w:hAnsi="Times New Roman" w:cs="Times New Roman"/>
      <w:sz w:val="24"/>
      <w:szCs w:val="24"/>
    </w:rPr>
  </w:style>
  <w:style w:type="character" w:customStyle="1" w:styleId="Char">
    <w:name w:val="批注主题 Char"/>
    <w:link w:val="a5"/>
    <w:uiPriority w:val="99"/>
    <w:rsid w:val="00512332"/>
    <w:rPr>
      <w:rFonts w:ascii="Times New Roman" w:eastAsia="宋体" w:hAnsi="Times New Roman" w:cs="Times New Roman"/>
      <w:b/>
      <w:bCs/>
      <w:sz w:val="24"/>
      <w:szCs w:val="24"/>
    </w:rPr>
  </w:style>
  <w:style w:type="paragraph" w:customStyle="1" w:styleId="12">
    <w:name w:val="修订1"/>
    <w:hidden/>
    <w:uiPriority w:val="99"/>
    <w:semiHidden/>
    <w:rsid w:val="00512332"/>
    <w:rPr>
      <w:rFonts w:ascii="Times New Roman" w:hAnsi="Times New Roman"/>
      <w:kern w:val="2"/>
      <w:sz w:val="24"/>
      <w:szCs w:val="24"/>
    </w:rPr>
  </w:style>
  <w:style w:type="paragraph" w:styleId="afffc">
    <w:name w:val="No Spacing"/>
    <w:uiPriority w:val="1"/>
    <w:qFormat/>
    <w:rsid w:val="00512332"/>
    <w:pPr>
      <w:widowControl w:val="0"/>
      <w:jc w:val="both"/>
    </w:pPr>
    <w:rPr>
      <w:kern w:val="2"/>
      <w:sz w:val="21"/>
      <w:szCs w:val="22"/>
    </w:rPr>
  </w:style>
  <w:style w:type="paragraph" w:customStyle="1" w:styleId="200">
    <w:name w:val="正文文本 (20)"/>
    <w:basedOn w:val="a1"/>
    <w:link w:val="201"/>
    <w:rsid w:val="00512332"/>
    <w:pPr>
      <w:shd w:val="clear" w:color="auto" w:fill="FFFFFF"/>
      <w:spacing w:before="900" w:line="560" w:lineRule="exact"/>
      <w:jc w:val="distribute"/>
    </w:pPr>
    <w:rPr>
      <w:rFonts w:ascii="MingLiU" w:eastAsia="MingLiU" w:hAnsi="MingLiU"/>
      <w:spacing w:val="20"/>
      <w:kern w:val="0"/>
      <w:sz w:val="34"/>
      <w:szCs w:val="20"/>
      <w:shd w:val="clear" w:color="auto" w:fill="FFFFFF"/>
    </w:rPr>
  </w:style>
  <w:style w:type="character" w:customStyle="1" w:styleId="201">
    <w:name w:val="正文文本 (20)_"/>
    <w:link w:val="200"/>
    <w:locked/>
    <w:rsid w:val="00512332"/>
    <w:rPr>
      <w:rFonts w:ascii="MingLiU" w:eastAsia="MingLiU" w:hAnsi="MingLiU" w:cs="Times New Roman"/>
      <w:spacing w:val="20"/>
      <w:kern w:val="0"/>
      <w:sz w:val="34"/>
      <w:szCs w:val="20"/>
      <w:shd w:val="clear" w:color="auto" w:fill="FFFFFF"/>
    </w:rPr>
  </w:style>
  <w:style w:type="paragraph" w:customStyle="1" w:styleId="13">
    <w:name w:val="列出段落1"/>
    <w:basedOn w:val="a1"/>
    <w:uiPriority w:val="34"/>
    <w:qFormat/>
    <w:rsid w:val="00512332"/>
    <w:pPr>
      <w:ind w:firstLineChars="200" w:firstLine="420"/>
    </w:pPr>
    <w:rPr>
      <w:rFonts w:ascii="Calibri" w:hAnsi="Calibri"/>
      <w:kern w:val="0"/>
      <w:szCs w:val="20"/>
    </w:rPr>
  </w:style>
  <w:style w:type="paragraph" w:customStyle="1" w:styleId="14">
    <w:name w:val="无间隔1"/>
    <w:uiPriority w:val="1"/>
    <w:qFormat/>
    <w:rsid w:val="00512332"/>
    <w:pPr>
      <w:widowControl w:val="0"/>
      <w:jc w:val="both"/>
    </w:pPr>
    <w:rPr>
      <w:rFonts w:cs="黑体"/>
      <w:kern w:val="2"/>
      <w:sz w:val="21"/>
      <w:szCs w:val="22"/>
    </w:rPr>
  </w:style>
  <w:style w:type="paragraph" w:customStyle="1" w:styleId="TOC1">
    <w:name w:val="TOC 标题1"/>
    <w:basedOn w:val="1"/>
    <w:next w:val="a1"/>
    <w:uiPriority w:val="39"/>
    <w:unhideWhenUsed/>
    <w:qFormat/>
    <w:rsid w:val="00512332"/>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6">
    <w:name w:val="明显强调1"/>
    <w:uiPriority w:val="21"/>
    <w:qFormat/>
    <w:rsid w:val="00512332"/>
    <w:rPr>
      <w:i/>
      <w:iCs/>
      <w:color w:val="5B9BD5"/>
    </w:rPr>
  </w:style>
  <w:style w:type="paragraph" w:customStyle="1" w:styleId="66">
    <w:name w:val="表——题注 6+6 磅"/>
    <w:basedOn w:val="ae"/>
    <w:link w:val="66Char"/>
    <w:rsid w:val="00512332"/>
    <w:pPr>
      <w:spacing w:before="120" w:after="120"/>
      <w:jc w:val="center"/>
    </w:pPr>
    <w:rPr>
      <w:rFonts w:ascii="Times New Roman" w:hAnsi="Times New Roman"/>
      <w:kern w:val="2"/>
      <w:sz w:val="21"/>
    </w:rPr>
  </w:style>
  <w:style w:type="character" w:customStyle="1" w:styleId="66Char">
    <w:name w:val="表——题注 6+6 磅 Char"/>
    <w:link w:val="66"/>
    <w:rsid w:val="00512332"/>
    <w:rPr>
      <w:rFonts w:ascii="Times New Roman" w:hAnsi="Times New Roman"/>
      <w:kern w:val="2"/>
      <w:sz w:val="21"/>
      <w:szCs w:val="18"/>
    </w:rPr>
  </w:style>
  <w:style w:type="paragraph" w:customStyle="1" w:styleId="612">
    <w:name w:val="图——题注 6+12 磅"/>
    <w:basedOn w:val="ae"/>
    <w:link w:val="612CharChar"/>
    <w:rsid w:val="00512332"/>
    <w:pPr>
      <w:spacing w:before="120" w:after="240"/>
      <w:jc w:val="center"/>
    </w:pPr>
    <w:rPr>
      <w:rFonts w:ascii="Times New Roman" w:hAnsi="Times New Roman"/>
      <w:kern w:val="2"/>
      <w:sz w:val="21"/>
    </w:rPr>
  </w:style>
  <w:style w:type="character" w:customStyle="1" w:styleId="612CharChar">
    <w:name w:val="图——题注 6+12 磅 Char Char"/>
    <w:link w:val="612"/>
    <w:rsid w:val="00512332"/>
    <w:rPr>
      <w:rFonts w:ascii="Times New Roman" w:hAnsi="Times New Roman" w:cs="宋体"/>
      <w:kern w:val="2"/>
      <w:sz w:val="21"/>
      <w:szCs w:val="18"/>
    </w:rPr>
  </w:style>
  <w:style w:type="character" w:customStyle="1" w:styleId="HTMLChar">
    <w:name w:val="HTML 预设格式 Char"/>
    <w:link w:val="HTML"/>
    <w:uiPriority w:val="99"/>
    <w:semiHidden/>
    <w:rsid w:val="00512332"/>
    <w:rPr>
      <w:rFonts w:ascii="宋体" w:hAnsi="宋体" w:cs="宋体"/>
      <w:sz w:val="24"/>
      <w:szCs w:val="24"/>
    </w:rPr>
  </w:style>
  <w:style w:type="character" w:customStyle="1" w:styleId="hps">
    <w:name w:val="hps"/>
    <w:rsid w:val="00512332"/>
  </w:style>
  <w:style w:type="character" w:customStyle="1" w:styleId="Char4">
    <w:name w:val="纯文本 Char"/>
    <w:basedOn w:val="a2"/>
    <w:link w:val="ac"/>
    <w:qFormat/>
    <w:rsid w:val="00512332"/>
    <w:rPr>
      <w:rFonts w:ascii="宋体" w:hAnsi="宋体"/>
      <w:sz w:val="24"/>
      <w:szCs w:val="24"/>
    </w:rPr>
  </w:style>
  <w:style w:type="paragraph" w:customStyle="1" w:styleId="xl27">
    <w:name w:val="xl27"/>
    <w:basedOn w:val="a1"/>
    <w:rsid w:val="00512332"/>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30">
    <w:name w:val="xl30"/>
    <w:basedOn w:val="a1"/>
    <w:rsid w:val="00512332"/>
    <w:pPr>
      <w:widowControl/>
      <w:spacing w:before="100" w:beforeAutospacing="1" w:after="100" w:afterAutospacing="1" w:line="240" w:lineRule="auto"/>
      <w:jc w:val="center"/>
      <w:textAlignment w:val="center"/>
    </w:pPr>
    <w:rPr>
      <w:rFonts w:ascii="宋体" w:hAnsi="宋体"/>
      <w:kern w:val="0"/>
      <w:sz w:val="24"/>
    </w:rPr>
  </w:style>
  <w:style w:type="character" w:customStyle="1" w:styleId="CharChar3">
    <w:name w:val="Char Char3"/>
    <w:basedOn w:val="a2"/>
    <w:rsid w:val="00512332"/>
    <w:rPr>
      <w:rFonts w:eastAsia="宋体"/>
      <w:b/>
      <w:bCs/>
      <w:kern w:val="44"/>
      <w:sz w:val="44"/>
      <w:szCs w:val="44"/>
      <w:lang w:val="en-US" w:eastAsia="zh-CN" w:bidi="ar-SA"/>
    </w:rPr>
  </w:style>
  <w:style w:type="character" w:customStyle="1" w:styleId="apple-style-span">
    <w:name w:val="apple-style-span"/>
    <w:basedOn w:val="a2"/>
    <w:rsid w:val="00512332"/>
  </w:style>
  <w:style w:type="paragraph" w:customStyle="1" w:styleId="CharChar1">
    <w:name w:val="Char Char1"/>
    <w:basedOn w:val="a1"/>
    <w:rsid w:val="00512332"/>
    <w:pPr>
      <w:widowControl/>
      <w:spacing w:after="160" w:line="240" w:lineRule="exact"/>
      <w:jc w:val="left"/>
    </w:pPr>
    <w:rPr>
      <w:rFonts w:ascii="Verdana" w:eastAsia="仿宋_GB2312" w:hAnsi="Verdana" w:cs="Verdana"/>
      <w:kern w:val="0"/>
      <w:sz w:val="24"/>
      <w:lang w:eastAsia="en-US"/>
    </w:rPr>
  </w:style>
  <w:style w:type="paragraph" w:customStyle="1" w:styleId="afffd">
    <w:name w:val="表头"/>
    <w:basedOn w:val="a1"/>
    <w:rsid w:val="00512332"/>
    <w:pPr>
      <w:spacing w:beforeLines="50" w:afterLines="50" w:line="300" w:lineRule="auto"/>
      <w:jc w:val="center"/>
    </w:pPr>
    <w:rPr>
      <w:b/>
      <w:bCs/>
      <w:sz w:val="21"/>
      <w:szCs w:val="21"/>
    </w:rPr>
  </w:style>
  <w:style w:type="character" w:customStyle="1" w:styleId="sfontcuti1">
    <w:name w:val="s_font_cuti1"/>
    <w:uiPriority w:val="99"/>
    <w:rsid w:val="00512332"/>
    <w:rPr>
      <w:rFonts w:ascii="宋体" w:eastAsia="宋体" w:hAnsi="宋体"/>
      <w:b/>
      <w:color w:val="000000"/>
      <w:sz w:val="13"/>
    </w:rPr>
  </w:style>
  <w:style w:type="character" w:customStyle="1" w:styleId="apple-converted-space">
    <w:name w:val="apple-converted-space"/>
    <w:basedOn w:val="a2"/>
    <w:rsid w:val="00512332"/>
  </w:style>
  <w:style w:type="paragraph" w:customStyle="1" w:styleId="17">
    <w:name w:val="条文标题1"/>
    <w:basedOn w:val="1"/>
    <w:link w:val="1Char0"/>
    <w:qFormat/>
    <w:rsid w:val="00512332"/>
    <w:pPr>
      <w:adjustRightInd w:val="0"/>
      <w:snapToGrid w:val="0"/>
      <w:spacing w:beforeLines="100" w:afterLines="100" w:line="400" w:lineRule="exact"/>
      <w:jc w:val="center"/>
    </w:pPr>
    <w:rPr>
      <w:rFonts w:eastAsia="黑体"/>
      <w:b w:val="0"/>
      <w:sz w:val="28"/>
      <w:szCs w:val="30"/>
    </w:rPr>
  </w:style>
  <w:style w:type="character" w:customStyle="1" w:styleId="1Char0">
    <w:name w:val="条文标题1 Char"/>
    <w:link w:val="17"/>
    <w:rsid w:val="00512332"/>
    <w:rPr>
      <w:rFonts w:ascii="Times New Roman" w:eastAsia="黑体" w:hAnsi="Times New Roman"/>
      <w:bCs/>
      <w:kern w:val="44"/>
      <w:sz w:val="28"/>
      <w:szCs w:val="30"/>
    </w:rPr>
  </w:style>
  <w:style w:type="character" w:customStyle="1" w:styleId="Chara">
    <w:name w:val="标题 Char"/>
    <w:basedOn w:val="a2"/>
    <w:link w:val="af3"/>
    <w:rsid w:val="00512332"/>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5.wmf"/><Relationship Id="rId42" Type="http://schemas.openxmlformats.org/officeDocument/2006/relationships/image" Target="media/image14.wmf"/><Relationship Id="rId63" Type="http://schemas.openxmlformats.org/officeDocument/2006/relationships/oleObject" Target="embeddings/oleObject27.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5.bin"/><Relationship Id="rId170" Type="http://schemas.openxmlformats.org/officeDocument/2006/relationships/image" Target="media/image77.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footer" Target="footer3.xml"/><Relationship Id="rId107" Type="http://schemas.openxmlformats.org/officeDocument/2006/relationships/oleObject" Target="embeddings/oleObject49.bin"/><Relationship Id="rId11" Type="http://schemas.openxmlformats.org/officeDocument/2006/relationships/header" Target="header2.xml"/><Relationship Id="rId32" Type="http://schemas.openxmlformats.org/officeDocument/2006/relationships/image" Target="media/image9.wmf"/><Relationship Id="rId53" Type="http://schemas.openxmlformats.org/officeDocument/2006/relationships/oleObject" Target="embeddings/oleObject22.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3.wmf"/><Relationship Id="rId181" Type="http://schemas.openxmlformats.org/officeDocument/2006/relationships/oleObject" Target="embeddings/oleObject87.bin"/><Relationship Id="rId216" Type="http://schemas.openxmlformats.org/officeDocument/2006/relationships/oleObject" Target="embeddings/oleObject109.bin"/><Relationship Id="rId237" Type="http://schemas.openxmlformats.org/officeDocument/2006/relationships/oleObject" Target="embeddings/oleObject123.bin"/><Relationship Id="rId22" Type="http://schemas.openxmlformats.org/officeDocument/2006/relationships/oleObject" Target="embeddings/oleObject5.bin"/><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65.bin"/><Relationship Id="rId80" Type="http://schemas.openxmlformats.org/officeDocument/2006/relationships/image" Target="media/image33.wmf"/><Relationship Id="rId85" Type="http://schemas.openxmlformats.org/officeDocument/2006/relationships/oleObject" Target="embeddings/oleObject38.bin"/><Relationship Id="rId150" Type="http://schemas.openxmlformats.org/officeDocument/2006/relationships/image" Target="media/image68.wmf"/><Relationship Id="rId155" Type="http://schemas.openxmlformats.org/officeDocument/2006/relationships/oleObject" Target="embeddings/oleObject73.bin"/><Relationship Id="rId171" Type="http://schemas.openxmlformats.org/officeDocument/2006/relationships/oleObject" Target="embeddings/oleObject82.bin"/><Relationship Id="rId176" Type="http://schemas.openxmlformats.org/officeDocument/2006/relationships/image" Target="media/image80.wmf"/><Relationship Id="rId192" Type="http://schemas.openxmlformats.org/officeDocument/2006/relationships/image" Target="media/image87.wmf"/><Relationship Id="rId197" Type="http://schemas.openxmlformats.org/officeDocument/2006/relationships/oleObject" Target="embeddings/oleObject97.bin"/><Relationship Id="rId206" Type="http://schemas.openxmlformats.org/officeDocument/2006/relationships/oleObject" Target="embeddings/oleObject102.bin"/><Relationship Id="rId227" Type="http://schemas.openxmlformats.org/officeDocument/2006/relationships/header" Target="header4.xml"/><Relationship Id="rId201" Type="http://schemas.openxmlformats.org/officeDocument/2006/relationships/image" Target="media/image90.emf"/><Relationship Id="rId222" Type="http://schemas.openxmlformats.org/officeDocument/2006/relationships/header" Target="header3.xml"/><Relationship Id="rId12" Type="http://schemas.openxmlformats.org/officeDocument/2006/relationships/footer" Target="footer2.xml"/><Relationship Id="rId17" Type="http://schemas.openxmlformats.org/officeDocument/2006/relationships/image" Target="media/image3.wmf"/><Relationship Id="rId33" Type="http://schemas.openxmlformats.org/officeDocument/2006/relationships/oleObject" Target="embeddings/oleObject12.bin"/><Relationship Id="rId38" Type="http://schemas.openxmlformats.org/officeDocument/2006/relationships/image" Target="media/image12.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76.wmf"/><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6.bin"/><Relationship Id="rId233" Type="http://schemas.openxmlformats.org/officeDocument/2006/relationships/oleObject" Target="embeddings/oleObject119.bin"/><Relationship Id="rId238" Type="http://schemas.openxmlformats.org/officeDocument/2006/relationships/oleObject" Target="embeddings/oleObject124.bin"/><Relationship Id="rId23" Type="http://schemas.openxmlformats.org/officeDocument/2006/relationships/image" Target="media/image6.wmf"/><Relationship Id="rId28" Type="http://schemas.openxmlformats.org/officeDocument/2006/relationships/image" Target="media/image7.wmf"/><Relationship Id="rId49" Type="http://schemas.openxmlformats.org/officeDocument/2006/relationships/oleObject" Target="embeddings/oleObject20.bin"/><Relationship Id="rId114" Type="http://schemas.openxmlformats.org/officeDocument/2006/relationships/image" Target="media/image50.wmf"/><Relationship Id="rId119" Type="http://schemas.openxmlformats.org/officeDocument/2006/relationships/oleObject" Target="embeddings/oleObject55.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1.wmf"/><Relationship Id="rId177" Type="http://schemas.openxmlformats.org/officeDocument/2006/relationships/oleObject" Target="embeddings/oleObject85.bin"/><Relationship Id="rId198" Type="http://schemas.openxmlformats.org/officeDocument/2006/relationships/oleObject" Target="embeddings/oleObject98.bin"/><Relationship Id="rId172" Type="http://schemas.openxmlformats.org/officeDocument/2006/relationships/image" Target="media/image78.wmf"/><Relationship Id="rId193" Type="http://schemas.openxmlformats.org/officeDocument/2006/relationships/oleObject" Target="embeddings/oleObject94.bin"/><Relationship Id="rId202" Type="http://schemas.openxmlformats.org/officeDocument/2006/relationships/image" Target="media/image91.wmf"/><Relationship Id="rId207" Type="http://schemas.openxmlformats.org/officeDocument/2006/relationships/oleObject" Target="embeddings/oleObject103.bin"/><Relationship Id="rId223" Type="http://schemas.openxmlformats.org/officeDocument/2006/relationships/image" Target="media/image96.emf"/><Relationship Id="rId228" Type="http://schemas.openxmlformats.org/officeDocument/2006/relationships/footer" Target="footer4.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image" Target="media/image31.wmf"/><Relationship Id="rId97" Type="http://schemas.openxmlformats.org/officeDocument/2006/relationships/oleObject" Target="embeddings/oleObject44.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6.wmf"/><Relationship Id="rId167" Type="http://schemas.openxmlformats.org/officeDocument/2006/relationships/oleObject" Target="embeddings/oleObject79.bin"/><Relationship Id="rId188" Type="http://schemas.openxmlformats.org/officeDocument/2006/relationships/image" Target="media/image85.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39.wmf"/><Relationship Id="rId162" Type="http://schemas.openxmlformats.org/officeDocument/2006/relationships/image" Target="media/image74.wmf"/><Relationship Id="rId183" Type="http://schemas.openxmlformats.org/officeDocument/2006/relationships/oleObject" Target="embeddings/oleObject89.bin"/><Relationship Id="rId213" Type="http://schemas.openxmlformats.org/officeDocument/2006/relationships/image" Target="media/image95.png"/><Relationship Id="rId218" Type="http://schemas.openxmlformats.org/officeDocument/2006/relationships/oleObject" Target="embeddings/oleObject111.bin"/><Relationship Id="rId234" Type="http://schemas.openxmlformats.org/officeDocument/2006/relationships/oleObject" Target="embeddings/oleObject120.bin"/><Relationship Id="rId23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image" Target="media/image48.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1.wmf"/><Relationship Id="rId157" Type="http://schemas.openxmlformats.org/officeDocument/2006/relationships/oleObject" Target="embeddings/oleObject74.bin"/><Relationship Id="rId178" Type="http://schemas.openxmlformats.org/officeDocument/2006/relationships/image" Target="media/image81.wmf"/><Relationship Id="rId61" Type="http://schemas.openxmlformats.org/officeDocument/2006/relationships/oleObject" Target="embeddings/oleObject26.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83.bin"/><Relationship Id="rId194" Type="http://schemas.openxmlformats.org/officeDocument/2006/relationships/image" Target="media/image88.wmf"/><Relationship Id="rId199" Type="http://schemas.openxmlformats.org/officeDocument/2006/relationships/oleObject" Target="embeddings/oleObject99.bin"/><Relationship Id="rId203" Type="http://schemas.openxmlformats.org/officeDocument/2006/relationships/oleObject" Target="embeddings/oleObject100.bin"/><Relationship Id="rId208" Type="http://schemas.openxmlformats.org/officeDocument/2006/relationships/oleObject" Target="embeddings/oleObject104.bin"/><Relationship Id="rId229" Type="http://schemas.openxmlformats.org/officeDocument/2006/relationships/oleObject" Target="embeddings/oleObject115.bin"/><Relationship Id="rId19" Type="http://schemas.openxmlformats.org/officeDocument/2006/relationships/image" Target="media/image4.wmf"/><Relationship Id="rId224" Type="http://schemas.openxmlformats.org/officeDocument/2006/relationships/image" Target="media/image97.emf"/><Relationship Id="rId240" Type="http://schemas.openxmlformats.org/officeDocument/2006/relationships/theme" Target="theme/theme1.xml"/><Relationship Id="rId14" Type="http://schemas.openxmlformats.org/officeDocument/2006/relationships/oleObject" Target="embeddings/oleObject1.bin"/><Relationship Id="rId30" Type="http://schemas.openxmlformats.org/officeDocument/2006/relationships/image" Target="media/image8.wmf"/><Relationship Id="rId35" Type="http://schemas.openxmlformats.org/officeDocument/2006/relationships/oleObject" Target="embeddings/oleObject13.bin"/><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image" Target="media/image43.wmf"/><Relationship Id="rId105" Type="http://schemas.openxmlformats.org/officeDocument/2006/relationships/oleObject" Target="embeddings/oleObject48.bin"/><Relationship Id="rId126" Type="http://schemas.openxmlformats.org/officeDocument/2006/relationships/image" Target="media/image56.wmf"/><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42.bin"/><Relationship Id="rId98" Type="http://schemas.openxmlformats.org/officeDocument/2006/relationships/image" Target="media/image42.wmf"/><Relationship Id="rId121" Type="http://schemas.openxmlformats.org/officeDocument/2006/relationships/oleObject" Target="embeddings/oleObject56.bin"/><Relationship Id="rId142" Type="http://schemas.openxmlformats.org/officeDocument/2006/relationships/image" Target="media/image64.wmf"/><Relationship Id="rId163" Type="http://schemas.openxmlformats.org/officeDocument/2006/relationships/oleObject" Target="embeddings/oleObject77.bin"/><Relationship Id="rId184" Type="http://schemas.openxmlformats.org/officeDocument/2006/relationships/image" Target="media/image83.wmf"/><Relationship Id="rId189" Type="http://schemas.openxmlformats.org/officeDocument/2006/relationships/oleObject" Target="embeddings/oleObject92.bin"/><Relationship Id="rId219" Type="http://schemas.openxmlformats.org/officeDocument/2006/relationships/oleObject" Target="embeddings/oleObject112.bin"/><Relationship Id="rId3" Type="http://schemas.openxmlformats.org/officeDocument/2006/relationships/numbering" Target="numbering.xml"/><Relationship Id="rId214" Type="http://schemas.openxmlformats.org/officeDocument/2006/relationships/oleObject" Target="embeddings/oleObject107.bin"/><Relationship Id="rId230" Type="http://schemas.openxmlformats.org/officeDocument/2006/relationships/oleObject" Target="embeddings/oleObject116.bin"/><Relationship Id="rId235" Type="http://schemas.openxmlformats.org/officeDocument/2006/relationships/oleObject" Target="embeddings/oleObject121.bin"/><Relationship Id="rId25" Type="http://schemas.openxmlformats.org/officeDocument/2006/relationships/oleObject" Target="embeddings/oleObject7.bin"/><Relationship Id="rId46" Type="http://schemas.openxmlformats.org/officeDocument/2006/relationships/image" Target="media/image16.wmf"/><Relationship Id="rId67" Type="http://schemas.openxmlformats.org/officeDocument/2006/relationships/oleObject" Target="embeddings/oleObject29.bin"/><Relationship Id="rId116" Type="http://schemas.openxmlformats.org/officeDocument/2006/relationships/image" Target="media/image51.wmf"/><Relationship Id="rId137" Type="http://schemas.openxmlformats.org/officeDocument/2006/relationships/oleObject" Target="embeddings/oleObject64.bin"/><Relationship Id="rId158" Type="http://schemas.openxmlformats.org/officeDocument/2006/relationships/image" Target="media/image72.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oleObject" Target="embeddings/oleObject51.bin"/><Relationship Id="rId132" Type="http://schemas.openxmlformats.org/officeDocument/2006/relationships/image" Target="media/image59.wmf"/><Relationship Id="rId153" Type="http://schemas.openxmlformats.org/officeDocument/2006/relationships/oleObject" Target="embeddings/oleObject72.bin"/><Relationship Id="rId174" Type="http://schemas.openxmlformats.org/officeDocument/2006/relationships/image" Target="media/image79.wmf"/><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image" Target="media/image93.emf"/><Relationship Id="rId190" Type="http://schemas.openxmlformats.org/officeDocument/2006/relationships/image" Target="media/image86.wmf"/><Relationship Id="rId204" Type="http://schemas.openxmlformats.org/officeDocument/2006/relationships/image" Target="media/image92.emf"/><Relationship Id="rId220" Type="http://schemas.openxmlformats.org/officeDocument/2006/relationships/oleObject" Target="embeddings/oleObject113.bin"/><Relationship Id="rId225" Type="http://schemas.openxmlformats.org/officeDocument/2006/relationships/image" Target="media/image98.png"/><Relationship Id="rId15" Type="http://schemas.openxmlformats.org/officeDocument/2006/relationships/image" Target="media/image2.wmf"/><Relationship Id="rId36" Type="http://schemas.openxmlformats.org/officeDocument/2006/relationships/image" Target="media/image11.wmf"/><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59.bin"/><Relationship Id="rId10" Type="http://schemas.openxmlformats.org/officeDocument/2006/relationships/footer" Target="footer1.xml"/><Relationship Id="rId31" Type="http://schemas.openxmlformats.org/officeDocument/2006/relationships/oleObject" Target="embeddings/oleObject11.bin"/><Relationship Id="rId52" Type="http://schemas.openxmlformats.org/officeDocument/2006/relationships/image" Target="media/image19.wmf"/><Relationship Id="rId73" Type="http://schemas.openxmlformats.org/officeDocument/2006/relationships/oleObject" Target="embeddings/oleObject32.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4.wmf"/><Relationship Id="rId143" Type="http://schemas.openxmlformats.org/officeDocument/2006/relationships/oleObject" Target="embeddings/oleObject67.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1.bin"/><Relationship Id="rId185" Type="http://schemas.openxmlformats.org/officeDocument/2006/relationships/oleObject" Target="embeddings/oleObject90.bin"/><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image" Target="media/image82.wmf"/><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oleObject" Target="embeddings/oleObject122.bin"/><Relationship Id="rId26" Type="http://schemas.openxmlformats.org/officeDocument/2006/relationships/oleObject" Target="embeddings/oleObject8.bin"/><Relationship Id="rId231" Type="http://schemas.openxmlformats.org/officeDocument/2006/relationships/oleObject" Target="embeddings/oleObject117.bin"/><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oleObject" Target="embeddings/oleObject40.bin"/><Relationship Id="rId112" Type="http://schemas.openxmlformats.org/officeDocument/2006/relationships/image" Target="media/image49.wmf"/><Relationship Id="rId133" Type="http://schemas.openxmlformats.org/officeDocument/2006/relationships/oleObject" Target="embeddings/oleObject62.bin"/><Relationship Id="rId154" Type="http://schemas.openxmlformats.org/officeDocument/2006/relationships/image" Target="media/image70.wmf"/><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image" Target="media/image89.emf"/><Relationship Id="rId16" Type="http://schemas.openxmlformats.org/officeDocument/2006/relationships/oleObject" Target="embeddings/oleObject2.bin"/><Relationship Id="rId221" Type="http://schemas.openxmlformats.org/officeDocument/2006/relationships/oleObject" Target="embeddings/oleObject114.bin"/><Relationship Id="rId37" Type="http://schemas.openxmlformats.org/officeDocument/2006/relationships/oleObject" Target="embeddings/oleObject14.bin"/><Relationship Id="rId58" Type="http://schemas.openxmlformats.org/officeDocument/2006/relationships/image" Target="media/image22.wmf"/><Relationship Id="rId79" Type="http://schemas.openxmlformats.org/officeDocument/2006/relationships/oleObject" Target="embeddings/oleObject35.bin"/><Relationship Id="rId102" Type="http://schemas.openxmlformats.org/officeDocument/2006/relationships/image" Target="media/image44.wmf"/><Relationship Id="rId123" Type="http://schemas.openxmlformats.org/officeDocument/2006/relationships/oleObject" Target="embeddings/oleObject57.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78.bin"/><Relationship Id="rId186" Type="http://schemas.openxmlformats.org/officeDocument/2006/relationships/image" Target="media/image84.wmf"/><Relationship Id="rId211" Type="http://schemas.openxmlformats.org/officeDocument/2006/relationships/image" Target="media/image94.png"/><Relationship Id="rId232" Type="http://schemas.openxmlformats.org/officeDocument/2006/relationships/oleObject" Target="embeddings/oleObject118.bin"/><Relationship Id="rId27" Type="http://schemas.openxmlformats.org/officeDocument/2006/relationships/oleObject" Target="embeddings/oleObject9.bin"/><Relationship Id="rId48" Type="http://schemas.openxmlformats.org/officeDocument/2006/relationships/image" Target="media/image17.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0.wmf"/></Relationships>
</file>

<file path=word/_rels/settings.xml.rels><?xml version="1.0" encoding="UTF-8" standalone="yes"?>
<Relationships xmlns="http://schemas.openxmlformats.org/package/2006/relationships"><Relationship Id="rId1" Type="http://schemas.openxmlformats.org/officeDocument/2006/relationships/attachedTemplate" Target="file:///E:\&#19987;&#21033;&#21450;&#31435;&#39033;&#35770;&#25991;&#21830;&#26631;\&#24314;&#22996;&#31435;&#39033;\2016&#24037;&#19994;&#21270;\2018&#20462;&#35746;\&#23425;&#27874;&#24066;&#35013;&#37197;&#24335;&#24314;&#31569;&#39044;&#21046;&#29575;&#35745;&#31639;&#32454;&#21017;&#24102;&#26684;&#24335;20181217w.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BEF87-BFC0-4D4C-9373-0773A52C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宁波市装配式建筑预制率计算细则带格式20181217w.dotx</Template>
  <TotalTime>3</TotalTime>
  <Pages>36</Pages>
  <Words>3601</Words>
  <Characters>20531</Characters>
  <Application>Microsoft Office Word</Application>
  <DocSecurity>0</DocSecurity>
  <Lines>171</Lines>
  <Paragraphs>48</Paragraphs>
  <ScaleCrop>false</ScaleCrop>
  <Company>NB</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赵凌洁</cp:lastModifiedBy>
  <cp:revision>2</cp:revision>
  <cp:lastPrinted>2018-12-18T00:46:00Z</cp:lastPrinted>
  <dcterms:created xsi:type="dcterms:W3CDTF">2018-12-18T02:38:00Z</dcterms:created>
  <dcterms:modified xsi:type="dcterms:W3CDTF">2018-12-18T02:38:00Z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